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731200" cy="25781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</w:rPr>
      </w:pPr>
      <w:bookmarkStart w:colFirst="0" w:colLast="0" w:name="_jl0rqvbhdjxc" w:id="0"/>
      <w:bookmarkEnd w:id="0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  <w:rtl w:val="0"/>
        </w:rPr>
        <w:t xml:space="preserve">Figure 2 — Event ID 4625: Failed Logon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investigated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Event ID 4625</w:t>
      </w:r>
      <w:r w:rsidDel="00000000" w:rsidR="00000000" w:rsidRPr="00000000">
        <w:rPr>
          <w:sz w:val="28"/>
          <w:szCs w:val="28"/>
          <w:rtl w:val="0"/>
        </w:rPr>
        <w:t xml:space="preserve"> to identify a failed authentication attempt. From a SOC perspective, repeated failed logons can be important because they may indicate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brute-force or unauthorized access attempts</w:t>
      </w:r>
      <w:r w:rsidDel="00000000" w:rsidR="00000000" w:rsidRPr="00000000">
        <w:rPr>
          <w:sz w:val="28"/>
          <w:szCs w:val="28"/>
          <w:rtl w:val="0"/>
        </w:rPr>
        <w:t xml:space="preserve">, so the account and logon type should be reviewed.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