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32"/>
          <w:szCs w:val="32"/>
          <w:u w:val="single"/>
        </w:rPr>
      </w:pPr>
      <w:bookmarkStart w:colFirst="0" w:colLast="0" w:name="_4upg4660s09u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2"/>
          <w:szCs w:val="32"/>
          <w:u w:val="single"/>
          <w:rtl w:val="0"/>
        </w:rPr>
        <w:t xml:space="preserve">Figure 3 — Event ID 4688: Process Creation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reviewed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 ID 4688</w:t>
      </w:r>
      <w:r w:rsidDel="00000000" w:rsidR="00000000" w:rsidRPr="00000000">
        <w:rPr>
          <w:sz w:val="28"/>
          <w:szCs w:val="28"/>
          <w:rtl w:val="0"/>
        </w:rPr>
        <w:t xml:space="preserve"> to identify a newly created process on the Windows system. From a SOC perspective, process creation events can help analysts determine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was executed and whether the process requires further investigation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