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ro739tmawk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q1g7i8v0n0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jg8drbdkitrl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Figure 4 — Event ID 4720: User Account Created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investigated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Event ID 4720</w:t>
      </w:r>
      <w:r w:rsidDel="00000000" w:rsidR="00000000" w:rsidRPr="00000000">
        <w:rPr>
          <w:sz w:val="30"/>
          <w:szCs w:val="30"/>
          <w:rtl w:val="0"/>
        </w:rPr>
        <w:t xml:space="preserve"> after creating the temporary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SOC-Test</w:t>
      </w:r>
      <w:r w:rsidDel="00000000" w:rsidR="00000000" w:rsidRPr="00000000">
        <w:rPr>
          <w:sz w:val="30"/>
          <w:szCs w:val="30"/>
          <w:rtl w:val="0"/>
        </w:rPr>
        <w:t xml:space="preserve"> account for the lab. From a SOC perspective, unexpected account creation can be important because an attacker may create an account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persistence or unauthorized access</w:t>
      </w:r>
      <w:r w:rsidDel="00000000" w:rsidR="00000000" w:rsidRPr="00000000">
        <w:rPr>
          <w:sz w:val="30"/>
          <w:szCs w:val="30"/>
          <w:rtl w:val="0"/>
        </w:rPr>
        <w:t xml:space="preserve">, so the account and creator should be investigated.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