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"/>
      <w:r>
        <w:t xml:space="preserve">Project</w:t>
      </w:r>
      <w:bookmarkEnd w:id="20"/>
    </w:p>
    <w:p>
      <w:pPr>
        <w:pStyle w:val="Heading2"/>
      </w:pPr>
      <w:bookmarkStart w:id="21" w:name="properties"/>
      <w:r>
        <w:t xml:space="preserve">Properties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ProjectId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IsPublic</w:t>
      </w:r>
      <w:r>
        <w:t xml:space="preserve"> </w:t>
      </w:r>
      <w:r>
        <w:rPr>
          <w:i/>
        </w:rPr>
        <w:t xml:space="preserve">(boolean)</w:t>
      </w:r>
      <w:r>
        <w:t xml:space="preserve">: If the project’s data is publicly available for benchmarking and comparison.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IsLocked</w:t>
      </w:r>
      <w:r>
        <w:t xml:space="preserve"> </w:t>
      </w:r>
      <w:r>
        <w:rPr>
          <w:i/>
        </w:rPr>
        <w:t xml:space="preserve">(boolean)</w:t>
      </w:r>
      <w:r>
        <w:t xml:space="preserve">: If the project’s data is locked, it can no longer be edited.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ClientName</w:t>
      </w:r>
      <w:r>
        <w:t xml:space="preserve"> </w:t>
      </w:r>
      <w:r>
        <w:rPr>
          <w:i/>
        </w:rPr>
        <w:t xml:space="preserve">(string)</w:t>
      </w:r>
      <w:r>
        <w:t xml:space="preserve">: The client or common name for the project.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YourReferenceCode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Your internal reference code for this project.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Aliases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Your aliases for the project.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Collaborators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A list of contributors and viewers for this project.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#/definitions/ProjectCollaboratorUnit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HandoverDate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EnvironmentalStrategy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See /Lookups/EnvironmentalStrategies.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GrossInternalFloorArea</w:t>
      </w:r>
      <w:r>
        <w:t xml:space="preserve"> </w:t>
      </w:r>
      <w:r>
        <w:rPr>
          <w:i/>
        </w:rPr>
        <w:t xml:space="preserve">(number)</w:t>
      </w:r>
      <w:r>
        <w:t xml:space="preserve">: The GIA for the entire project footprint. Unit: m2.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Sessions</w:t>
      </w:r>
      <w:r>
        <w:t xml:space="preserve"> </w:t>
      </w:r>
      <w:r>
        <w:rPr>
          <w:i/>
        </w:rPr>
        <w:t xml:space="preserve">(array)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#/definitions/SessionUnit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Structures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The individual buildings or structure groups that make up the project.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#/definitions/StructureUnit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Sectors</w:t>
      </w:r>
      <w:r>
        <w:t xml:space="preserve"> </w:t>
      </w:r>
      <w:r>
        <w:rPr>
          <w:i/>
        </w:rPr>
        <w:t xml:space="preserve">(array)</w:t>
      </w:r>
      <w:r>
        <w:t xml:space="preserve">: Based on CIBSE Guide F. See /Lookups/Sectors.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Types</w:t>
      </w:r>
      <w:r>
        <w:t xml:space="preserve"> </w:t>
      </w:r>
      <w:r>
        <w:rPr>
          <w:i/>
        </w:rPr>
        <w:t xml:space="preserve">(array)</w:t>
      </w:r>
      <w:r>
        <w:t xml:space="preserve">: Based on CIBSE Guide F. See /Lookups/Types. Types that do not belong to the sectors selected will not be displayed.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Tags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All the tags applied to this project.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 </w:t>
      </w:r>
      <w:r>
        <w:t xml:space="preserve">## Definitions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CarbonFactorUnit</w:t>
      </w:r>
      <w:r>
        <w:t xml:space="preserve"> </w:t>
      </w:r>
      <w:r>
        <w:rPr>
          <w:i/>
        </w:rPr>
        <w:t xml:space="preserve">(object)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ElectricityCarbonFactor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ElectricityMethodology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GasCarbonFactor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GasMethodology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OilCarbonFactor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OilMethodology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BiodieselFromBiomassCarbonFactor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BiodieselMethodology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CoalCarbonFactor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CoalMethodology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BiomassCarbonFactor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BiomassMethodology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BiogasCarbonFactor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  <w:b/>
        </w:rPr>
        <w:t xml:space="preserve">BiogasMethodology</w:t>
      </w:r>
      <w:r>
        <w:t xml:space="preserve"> </w:t>
      </w:r>
      <w:r>
        <w:rPr>
          <w:i/>
        </w:rPr>
        <w:t xml:space="preserve">(string)</w:t>
      </w:r>
      <w:r>
        <w:t xml:space="preserve">: Default is derived from SAP10.1 for the session year.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EmbodiedCarbonBreakdown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  <w:b/>
        </w:rPr>
        <w:t xml:space="preserve">SectionName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  <w:b/>
        </w:rPr>
        <w:t xml:space="preserve">AllowsCustomComponents</w:t>
      </w:r>
      <w:r>
        <w:t xml:space="preserve"> </w:t>
      </w:r>
      <w:r>
        <w:rPr>
          <w:i/>
        </w:rPr>
        <w:t xml:space="preserve">(boolean)</w:t>
      </w:r>
      <w:r>
        <w:t xml:space="preserve">: You can only add custom components to sections where this is true.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  <w:b/>
        </w:rPr>
        <w:t xml:space="preserve">Components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1"/>
          <w:ilvl w:val="2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#/definitions/EmbodiedCarbonComponent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EmbodiedCarbonComponent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  <w:b/>
        </w:rPr>
        <w:t xml:space="preserve">ComponentName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  <w:b/>
        </w:rPr>
        <w:t xml:space="preserve">Units</w:t>
      </w:r>
      <w:r>
        <w:t xml:space="preserve">: Refer to</w:t>
      </w:r>
      <w:r>
        <w:t xml:space="preserve"> </w:t>
      </w:r>
      <w:r>
        <w:rPr>
          <w:i/>
        </w:rPr>
        <w:t xml:space="preserve">#/definitions/Unit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  <w:b/>
        </w:rPr>
        <w:t xml:space="preserve">ComponentValue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  <w:b/>
        </w:rPr>
        <w:t xml:space="preserve">SequestersCarbon</w:t>
      </w:r>
      <w:r>
        <w:t xml:space="preserve"> </w:t>
      </w:r>
      <w:r>
        <w:rPr>
          <w:i/>
        </w:rPr>
        <w:t xml:space="preserve">(boolean)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Fuel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  <w:b/>
        </w:rPr>
        <w:t xml:space="preserve">FuelName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  <w:b/>
        </w:rPr>
        <w:t xml:space="preserve">PercentageOfTotal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OperationalEnergyBreakdown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  <w:b/>
        </w:rPr>
        <w:t xml:space="preserve">Sections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5"/>
          <w:ilvl w:val="2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#/definitions/OperationalEnergySection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OperationalEnergyComponent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  <w:b/>
        </w:rPr>
        <w:t xml:space="preserve">ComponentName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  <w:b/>
        </w:rPr>
        <w:t xml:space="preserve">Units</w:t>
      </w:r>
      <w:r>
        <w:t xml:space="preserve">: Refer to</w:t>
      </w:r>
      <w:r>
        <w:t xml:space="preserve"> </w:t>
      </w:r>
      <w:r>
        <w:rPr>
          <w:i/>
        </w:rPr>
        <w:t xml:space="preserve">#/definitions/Unit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  <w:b/>
        </w:rPr>
        <w:t xml:space="preserve">ComponentValue</w:t>
      </w:r>
      <w:r>
        <w:t xml:space="preserve"> </w:t>
      </w:r>
      <w:r>
        <w:rPr>
          <w:i/>
        </w:rPr>
        <w:t xml:space="preserve">(number)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  <w:b/>
        </w:rPr>
        <w:t xml:space="preserve">GeneratesPower</w:t>
      </w:r>
      <w:r>
        <w:t xml:space="preserve"> </w:t>
      </w:r>
      <w:r>
        <w:rPr>
          <w:i/>
        </w:rPr>
        <w:t xml:space="preserve">(boolean)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  <w:b/>
        </w:rPr>
        <w:t xml:space="preserve">FuelMix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Optional. See /lookups/FuelTypes. The mix total must equal 100%.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#/definitions/Fuel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OperationalEnergySection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  <w:b/>
        </w:rPr>
        <w:t xml:space="preserve">SectionName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  <w:b/>
        </w:rPr>
        <w:t xml:space="preserve">AllowsCustomComponents</w:t>
      </w:r>
      <w:r>
        <w:t xml:space="preserve"> </w:t>
      </w:r>
      <w:r>
        <w:rPr>
          <w:i/>
        </w:rPr>
        <w:t xml:space="preserve">(boolean)</w:t>
      </w:r>
      <w:r>
        <w:t xml:space="preserve">: Custom components are only valid in sections where this is true.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  <w:b/>
        </w:rPr>
        <w:t xml:space="preserve">Components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19"/>
          <w:ilvl w:val="2"/>
        </w:numPr>
      </w:pPr>
      <w:r>
        <w:rPr>
          <w:b/>
        </w:rPr>
        <w:t xml:space="preserve">Items</w:t>
      </w:r>
      <w:r>
        <w:t xml:space="preserve">: Refer to</w:t>
      </w:r>
      <w:r>
        <w:t xml:space="preserve"> </w:t>
      </w:r>
      <w:r>
        <w:rPr>
          <w:i/>
        </w:rPr>
        <w:t xml:space="preserve">#/definitions/OperationalEnergyComponent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ProjectCollaboratorUnit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CollaboratorId</w:t>
      </w:r>
      <w:r>
        <w:t xml:space="preserve"> </w:t>
      </w:r>
      <w:r>
        <w:rPr>
          <w:i/>
        </w:rPr>
        <w:t xml:space="preserve">(string)</w:t>
      </w:r>
      <w:r>
        <w:t xml:space="preserve">: The id for the user or company collaborating on the project.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CollaboratorName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CollaboratorType</w:t>
      </w:r>
      <w:r>
        <w:t xml:space="preserve"> </w:t>
      </w:r>
      <w:r>
        <w:rPr>
          <w:i/>
        </w:rPr>
        <w:t xml:space="preserve">(string)</w:t>
      </w:r>
      <w:r>
        <w:t xml:space="preserve">: The type of collaborator. See /lookups/collaboratorTypes.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RoleOnProject</w:t>
      </w:r>
      <w:r>
        <w:t xml:space="preserve"> </w:t>
      </w:r>
      <w:r>
        <w:rPr>
          <w:i/>
        </w:rPr>
        <w:t xml:space="preserve">(string)</w:t>
      </w:r>
      <w:r>
        <w:t xml:space="preserve">: The role of the collaborator. See /lookups/collaboratorRoles.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CollaboratorReferenceForProject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AddedOn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BaseAccessLevel</w:t>
      </w:r>
      <w:r>
        <w:t xml:space="preserve"> </w:t>
      </w:r>
      <w:r>
        <w:rPr>
          <w:i/>
        </w:rPr>
        <w:t xml:space="preserve">(string)</w:t>
      </w:r>
      <w:r>
        <w:t xml:space="preserve">: The maximum level of access this collaborator has to the project. See /security for more details.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  <w:b/>
        </w:rPr>
        <w:t xml:space="preserve">IsCreator</w:t>
      </w:r>
      <w:r>
        <w:t xml:space="preserve"> </w:t>
      </w:r>
      <w:r>
        <w:rPr>
          <w:i/>
        </w:rPr>
        <w:t xml:space="preserve">(boolean)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SessionUnit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SessionId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SessionDate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GrossInternalFloorArea</w:t>
      </w:r>
      <w:r>
        <w:t xml:space="preserve"> </w:t>
      </w:r>
      <w:r>
        <w:rPr>
          <w:i/>
        </w:rPr>
        <w:t xml:space="preserve">(number)</w:t>
      </w:r>
      <w:r>
        <w:t xml:space="preserve">: Overriden by structure GIA, if supplied.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Occupancy</w:t>
      </w:r>
      <w:r>
        <w:t xml:space="preserve"> </w:t>
      </w:r>
      <w:r>
        <w:rPr>
          <w:i/>
        </w:rPr>
        <w:t xml:space="preserve">(number)</w:t>
      </w:r>
      <w:r>
        <w:t xml:space="preserve">: Estimated or actual building occupancy.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StructureId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If supplied, provides occupancy and GIA.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Methodology</w:t>
      </w:r>
      <w:r>
        <w:t xml:space="preserve"> </w:t>
      </w:r>
      <w:r>
        <w:rPr>
          <w:i/>
        </w:rPr>
        <w:t xml:space="preserve">(string)</w:t>
      </w:r>
      <w:r>
        <w:t xml:space="preserve">: See /lookups/ReadingMethodologies.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Workstage</w:t>
      </w:r>
      <w:r>
        <w:t xml:space="preserve"> </w:t>
      </w:r>
      <w:r>
        <w:rPr>
          <w:i/>
        </w:rPr>
        <w:t xml:space="preserve">(string)</w:t>
      </w:r>
      <w:r>
        <w:t xml:space="preserve">: See /lookups/Workstages.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CalculationSoftware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Notes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TotalAnnualElectricityUse</w:t>
      </w:r>
      <w:r>
        <w:t xml:space="preserve"> </w:t>
      </w:r>
      <w:r>
        <w:rPr>
          <w:i/>
        </w:rPr>
        <w:t xml:space="preserve">(number)</w:t>
      </w:r>
      <w:r>
        <w:t xml:space="preserve">: Unit: kWh/m2.y.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TotalNonElectricEnergyUse</w:t>
      </w:r>
      <w:r>
        <w:t xml:space="preserve"> </w:t>
      </w:r>
      <w:r>
        <w:rPr>
          <w:i/>
        </w:rPr>
        <w:t xml:space="preserve">(number)</w:t>
      </w:r>
      <w:r>
        <w:t xml:space="preserve">: Unit: kWh/m2.y.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TotalRenewableContribution</w:t>
      </w:r>
      <w:r>
        <w:t xml:space="preserve"> </w:t>
      </w:r>
      <w:r>
        <w:rPr>
          <w:i/>
        </w:rPr>
        <w:t xml:space="preserve">(number)</w:t>
      </w:r>
      <w:r>
        <w:t xml:space="preserve">: Unit: kWh/m2.y.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OperationalEnergyTotal</w:t>
      </w:r>
      <w:r>
        <w:t xml:space="preserve"> </w:t>
      </w:r>
      <w:r>
        <w:rPr>
          <w:i/>
        </w:rPr>
        <w:t xml:space="preserve">(number)</w:t>
      </w:r>
      <w:r>
        <w:t xml:space="preserve">: Unit: kWh/m2.y.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OperationalEnergyCarbon</w:t>
      </w:r>
      <w:r>
        <w:t xml:space="preserve"> </w:t>
      </w:r>
      <w:r>
        <w:rPr>
          <w:i/>
        </w:rPr>
        <w:t xml:space="preserve">(number)</w:t>
      </w:r>
      <w:r>
        <w:t xml:space="preserve">: Unit: kgCO2e.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OperationalEnergyBreakdown</w:t>
      </w:r>
      <w:r>
        <w:t xml:space="preserve">: Refer to</w:t>
      </w:r>
      <w:r>
        <w:t xml:space="preserve"> </w:t>
      </w:r>
      <w:r>
        <w:rPr>
          <w:i/>
        </w:rPr>
        <w:t xml:space="preserve">#/definitions/OperationalEnergyBreakdown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TotalEmbodiedCarbon</w:t>
      </w:r>
      <w:r>
        <w:t xml:space="preserve"> </w:t>
      </w:r>
      <w:r>
        <w:rPr>
          <w:i/>
        </w:rPr>
        <w:t xml:space="preserve">(number)</w:t>
      </w:r>
      <w:r>
        <w:t xml:space="preserve">: Unit: kgCO2e.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EmbodiedCarbonBreakdown</w:t>
      </w:r>
      <w:r>
        <w:t xml:space="preserve">: Refer to</w:t>
      </w:r>
      <w:r>
        <w:t xml:space="preserve"> </w:t>
      </w:r>
      <w:r>
        <w:rPr>
          <w:i/>
        </w:rPr>
        <w:t xml:space="preserve">#/definitions/EmbodiedCarbonBreakdown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PotableWaterUse</w:t>
      </w:r>
      <w:r>
        <w:t xml:space="preserve"> </w:t>
      </w:r>
      <w:r>
        <w:rPr>
          <w:i/>
        </w:rPr>
        <w:t xml:space="preserve">(number)</w:t>
      </w:r>
      <w:r>
        <w:t xml:space="preserve">: Unit: m3.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  <w:b/>
        </w:rPr>
        <w:t xml:space="preserve">CarbonFactors</w:t>
      </w:r>
      <w:r>
        <w:t xml:space="preserve">: Refer to</w:t>
      </w:r>
      <w:r>
        <w:t xml:space="preserve"> </w:t>
      </w:r>
      <w:r>
        <w:rPr>
          <w:i/>
        </w:rPr>
        <w:t xml:space="preserve">#/definitions/CarbonFactorUnit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StructureUnit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object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StructureId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StructureName</w:t>
      </w:r>
      <w:r>
        <w:t xml:space="preserve"> </w:t>
      </w:r>
      <w:r>
        <w:rPr>
          <w:i/>
        </w:rPr>
        <w:t xml:space="preserve">(string)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StructureGIA</w:t>
      </w:r>
      <w:r>
        <w:t xml:space="preserve"> </w:t>
      </w:r>
      <w:r>
        <w:rPr>
          <w:i/>
        </w:rPr>
        <w:t xml:space="preserve">(number)</w:t>
      </w:r>
      <w:r>
        <w:t xml:space="preserve">: The Gross Internal Area for this structure.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Occupancy</w:t>
      </w:r>
      <w:r>
        <w:t xml:space="preserve"> </w:t>
      </w:r>
      <w:r>
        <w:rPr>
          <w:i/>
        </w:rPr>
        <w:t xml:space="preserve">(integer)</w:t>
      </w:r>
      <w:r>
        <w:t xml:space="preserve">: Occupancy.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Sectors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Based on CIBSE Guide F. See /Lookups/Sectors.</w:t>
      </w:r>
    </w:p>
    <w:p>
      <w:pPr>
        <w:pStyle w:val="Compact"/>
        <w:numPr>
          <w:numId w:val="1023"/>
          <w:ilvl w:val="2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Types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Based on CIBSE Guide F. See /Lookups/Types. Types that do not belong to the sectors selected will not be displayed.</w:t>
      </w:r>
    </w:p>
    <w:p>
      <w:pPr>
        <w:pStyle w:val="Compact"/>
        <w:numPr>
          <w:numId w:val="1024"/>
          <w:ilvl w:val="2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  <w:b/>
        </w:rPr>
        <w:t xml:space="preserve">Tags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array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  <w:r>
        <w:t xml:space="preserve">: All the tags applied to this structure.</w:t>
      </w:r>
    </w:p>
    <w:p>
      <w:pPr>
        <w:pStyle w:val="Compact"/>
        <w:numPr>
          <w:numId w:val="1025"/>
          <w:ilvl w:val="2"/>
        </w:numPr>
      </w:pPr>
      <w:r>
        <w:rPr>
          <w:b/>
        </w:rPr>
        <w:t xml:space="preserve">Items</w:t>
      </w:r>
      <w:r>
        <w:t xml:space="preserve"> </w:t>
      </w:r>
      <w:r>
        <w:rPr>
          <w:i/>
        </w:rPr>
        <w:t xml:space="preserve">([</w:t>
      </w:r>
      <w:r>
        <w:rPr>
          <w:i/>
        </w:rPr>
        <w:t xml:space="preserve">‘</w:t>
      </w:r>
      <w:r>
        <w:rPr>
          <w:i/>
        </w:rPr>
        <w:t xml:space="preserve">string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null</w:t>
      </w:r>
      <w:r>
        <w:rPr>
          <w:i/>
        </w:rPr>
        <w:t xml:space="preserve">’</w:t>
      </w:r>
      <w:r>
        <w:rPr>
          <w:i/>
        </w:rPr>
        <w:t xml:space="preserve">])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Unit</w:t>
      </w:r>
      <w:r>
        <w:t xml:space="preserve"> </w:t>
      </w:r>
      <w:r>
        <w:rPr>
          <w:i/>
        </w:rPr>
        <w:t xml:space="preserve">(object)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  <w:b/>
        </w:rPr>
        <w:t xml:space="preserve">UnitString</w:t>
      </w:r>
      <w:r>
        <w:t xml:space="preserve"> </w:t>
      </w:r>
      <w:r>
        <w:rPr>
          <w:i/>
        </w:rPr>
        <w:t xml:space="preserve">(string)</w:t>
      </w:r>
    </w:p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ACAE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64A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0A96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D0F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1E5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482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440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BC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18B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585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2C5702"/>
    <w:rPr>
      <w:rFonts w:ascii="Calibri" w:hAnsi="Calibri"/>
      <w:b w:val="0"/>
      <w:i w:val="0"/>
      <w:color w:val="FF0000"/>
      <w:sz w:val="24"/>
      <w:bdr w:val="none" w:sz="0" w:space="0" w:color="auto"/>
      <w:shd w:val="clear" w:color="auto" w:fill="auto"/>
    </w:rPr>
  </w:style>
  <w:style w:type="character" w:customStyle="1" w:styleId="mfgreen">
    <w:name w:val="mf_green"/>
    <w:basedOn w:val="mfred"/>
    <w:uiPriority w:val="1"/>
    <w:qFormat/>
    <w:rsid w:val="002C5702"/>
    <w:rPr>
      <w:rFonts w:ascii="Calibri" w:hAnsi="Calibri"/>
      <w:b w:val="0"/>
      <w:i w:val="0"/>
      <w:color w:val="00B050"/>
      <w:sz w:val="24"/>
      <w:bdr w:val="none" w:sz="0" w:space="0" w:color="auto"/>
      <w:shd w:val="clear" w:color="auto" w:fill="aut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2021-06-02T10:21:32Z</dcterms:created>
  <dcterms:modified xsi:type="dcterms:W3CDTF">2021-06-02T10:21:32Z</dcterms:modified>
</cp:coreProperties>
</file>