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Technical Summary: ICCS 2026 Research and VideoText.io</w:t>
      </w:r>
    </w:p>
    <w:p>
      <w:pPr>
        <w:jc w:val="center"/>
      </w:pPr>
      <w:r>
        <w:rPr>
          <w:rFonts w:ascii="Calibri" w:hAnsi="Calibri"/>
          <w:i/>
          <w:sz w:val="24"/>
        </w:rPr>
        <w:t>O-1A Nonimmigrant Classification — Criterion 3: Original Contributions of Major Significance</w:t>
      </w:r>
    </w:p>
    <w:p>
      <w:pPr>
        <w:jc w:val="center"/>
      </w:pPr>
      <w:r>
        <w:rPr>
          <w:rFonts w:ascii="Calibri" w:hAnsi="Calibri"/>
          <w:sz w:val="20"/>
        </w:rPr>
        <w:t>Applicant: Santhosh Guntupalli  |  Product: VideoText.io  |  Memorandum type: Technical exhibit (research ↔ production)</w:t>
      </w:r>
    </w:p>
    <w:p/>
    <w:p>
      <w:pPr>
        <w:pStyle w:val="Heading2"/>
        <w:spacing w:before="200" w:after="120"/>
      </w:pPr>
      <w:r>
        <w:rPr>
          <w:rFonts w:ascii="Calibri" w:hAnsi="Calibri"/>
          <w:color w:val="000000"/>
        </w:rPr>
        <w:t>Publication and product</w:t>
      </w:r>
    </w:p>
    <w:p>
      <w:r>
        <w:rPr>
          <w:rFonts w:ascii="Calibri" w:hAnsi="Calibri" w:eastAsia="Calibri"/>
          <w:b/>
          <w:i w:val="0"/>
        </w:rPr>
        <w:t xml:space="preserve">Publication (camera-ready): </w:t>
      </w:r>
      <w:r>
        <w:rPr>
          <w:rFonts w:ascii="Calibri" w:hAnsi="Calibri" w:eastAsia="Calibri"/>
          <w:b w:val="0"/>
          <w:i/>
        </w:rPr>
        <w:t>Santhosh Guntupalli, Deterministic Execution Frameworks for Hybrid Symbolic–Probabilistic Computational Pipelines (ICCS 2026).</w:t>
      </w:r>
    </w:p>
    <w:p>
      <w:r>
        <w:rPr>
          <w:rFonts w:ascii="Calibri" w:hAnsi="Calibri" w:eastAsia="Calibri"/>
          <w:b/>
          <w:i w:val="0"/>
        </w:rPr>
        <w:t xml:space="preserve">Product: </w:t>
      </w:r>
      <w:r>
        <w:rPr>
          <w:rFonts w:ascii="Calibri" w:hAnsi="Calibri" w:eastAsia="Calibri"/>
          <w:b w:val="0"/>
          <w:i w:val="0"/>
        </w:rPr>
        <w:t>VideoText.io — production SaaS for video transcription, subtitles, translation, caption tooling, batch processing, and related professional media workflows.</w:t>
      </w:r>
    </w:p>
    <w:p>
      <w:pPr>
        <w:pStyle w:val="Heading2"/>
        <w:spacing w:before="200" w:after="120"/>
      </w:pPr>
      <w:r>
        <w:rPr>
          <w:rFonts w:ascii="Calibri" w:hAnsi="Calibri"/>
          <w:color w:val="000000"/>
        </w:rPr>
        <w:t>Third-party product presence</w:t>
      </w:r>
    </w:p>
    <w:p>
      <w:pPr>
        <w:spacing w:after="120"/>
      </w:pPr>
      <w:r>
        <w:t>The product is publicly listed or featured on the following independent channels (attach screenshots or stable URLs as exhibits to the petition).</w:t>
      </w:r>
    </w:p>
    <w:p>
      <w:pPr>
        <w:pStyle w:val="ListBullet"/>
      </w:pPr>
      <w:r>
        <w:rPr>
          <w:rFonts w:ascii="Calibri" w:hAnsi="Calibri" w:eastAsia="Calibri"/>
          <w:b/>
          <w:i w:val="0"/>
        </w:rPr>
        <w:t xml:space="preserve">IndieHunt. </w:t>
      </w:r>
      <w:r>
        <w:rPr>
          <w:rFonts w:ascii="Calibri" w:hAnsi="Calibri" w:eastAsia="Calibri"/>
          <w:b w:val="0"/>
          <w:i w:val="0"/>
        </w:rPr>
        <w:t>VideoText.io is featured on IndieHunt (independent product discovery).</w:t>
      </w:r>
    </w:p>
    <w:p>
      <w:pPr>
        <w:pStyle w:val="ListBullet"/>
      </w:pPr>
      <w:r>
        <w:rPr>
          <w:rFonts w:ascii="Calibri" w:hAnsi="Calibri" w:eastAsia="Calibri"/>
          <w:b/>
          <w:i w:val="0"/>
        </w:rPr>
        <w:t xml:space="preserve">Fazier. </w:t>
      </w:r>
      <w:r>
        <w:rPr>
          <w:rFonts w:ascii="Calibri" w:hAnsi="Calibri" w:eastAsia="Calibri"/>
          <w:b w:val="0"/>
          <w:i w:val="0"/>
        </w:rPr>
        <w:t>The product carries the Fazier badge and/or a published listing on the Fazier platform.</w:t>
      </w:r>
    </w:p>
    <w:p>
      <w:pPr>
        <w:pStyle w:val="ListBullet"/>
      </w:pPr>
      <w:r>
        <w:rPr>
          <w:rFonts w:ascii="Calibri" w:hAnsi="Calibri" w:eastAsia="Calibri"/>
          <w:b/>
          <w:i w:val="0"/>
        </w:rPr>
        <w:t xml:space="preserve">G2. </w:t>
      </w:r>
      <w:r>
        <w:rPr>
          <w:rFonts w:ascii="Calibri" w:hAnsi="Calibri" w:eastAsia="Calibri"/>
          <w:b w:val="0"/>
          <w:i w:val="0"/>
        </w:rPr>
        <w:t>A product profile is published on G2 (https://www.g2.com/) — business software reviews and comparison.</w:t>
      </w:r>
    </w:p>
    <w:p>
      <w:pPr>
        <w:pStyle w:val="ListBullet"/>
      </w:pPr>
      <w:r>
        <w:rPr>
          <w:rFonts w:ascii="Calibri" w:hAnsi="Calibri" w:eastAsia="Calibri"/>
          <w:b/>
          <w:i w:val="0"/>
        </w:rPr>
        <w:t xml:space="preserve">Capterra. </w:t>
      </w:r>
      <w:r>
        <w:rPr>
          <w:rFonts w:ascii="Calibri" w:hAnsi="Calibri" w:eastAsia="Calibri"/>
          <w:b w:val="0"/>
          <w:i w:val="0"/>
        </w:rPr>
        <w:t>A product profile is published on Capterra (https://www.capterra.com/) — software discovery and reviews.</w:t>
      </w:r>
    </w:p>
    <w:p>
      <w:pPr>
        <w:ind w:left="360"/>
      </w:pPr>
      <w:r>
        <w:rPr>
          <w:i/>
          <w:sz w:val="20"/>
        </w:rPr>
        <w:t>Immigration packet: include direct links to each listing and/or dated PDF screenshots as labeled exhibits (e.g., Exhibit C-3a through C-3d).</w:t>
      </w:r>
    </w:p>
    <w:p>
      <w:pPr>
        <w:pStyle w:val="Heading1"/>
        <w:spacing w:before="240" w:after="120"/>
      </w:pPr>
      <w:r>
        <w:rPr>
          <w:rFonts w:ascii="Calibri" w:hAnsi="Calibri"/>
          <w:color w:val="000000"/>
        </w:rPr>
        <w:t>Executive summary</w:t>
      </w:r>
    </w:p>
    <w:p>
      <w:r>
        <w:t>The ICCS paper contributes a computational framework for hybrid pipelines: a deterministic execution layer (normalized input, ordered logic, versioned configuration) that owns all state transitions and primary outputs, while stochastic models are confined to non-authoritative post-hoc layers that cannot alter deterministic findings. The paper validates this design with 100% execution determinism and 100% traceability on a structured-text corpus, contrasted with 0% determinism for pure LLM and schema-constrained LLM baselines, and reports verifiable execution traces, O(n) rule scaling, and explicit security boundaries (for example, prompt injection treated as data in the symbolic core).</w:t>
      </w:r>
    </w:p>
    <w:p>
      <w:r>
        <w:t>VideoText.io is a commercial deployment of the same architectural discipline in a different domain (professional video and timed text). The product’s backbone is an explicit upload → validate → queue → worker → download pipeline with tier-aware orchestration. Deterministic, non-LLM stages (FFmpeg-based media transforms, deterministic transcript normalization, structured exports keyed off fixed segments, deterministic cache keys) bound the repeatable, customer-facing artifacts. Optional LLM features (for example, transcript summary, chapter titling from timestamped segments) are computed only after the primary timed transcript exists and are stored and delivered as separate fields, so they do not redefine the core subtitle or transcript payload that customers treat as authoritative for editing, compliance-style review, or downstream automation. Purely rule-based product logic (for example, in-app guidance triggers) is implemented without AI, mirroring the paper’s emphasis on traceable, reproducible decision paths where human operators expect stability.</w:t>
      </w:r>
    </w:p>
    <w:p>
      <w:r>
        <w:t>Neural automatic speech recognition (Whisper-class models) is not the paper’s symbolic rule engine; spoken audio lacks a closed finite pattern inventory like templated contracts. The accurate linkage for immigration purposes is therefore not that “the SaaS re-runs the contract engine,” but rather: (i) the applicant’s peer-reviewed framework establishes execution-invariance and auditability as first-class engineering constraints for LLM-containing systems; (ii) VideoText.io applies those constraints where production reality allows (deterministic media and text processing, explicit pipeline ordering, non-mutating generative add-ons, reproducible caching); (iii) paying customers demonstrate field-level significance that purely academic artifacts cannot, by showing the same researcher ships defensible hybrid AI systems under real latency, privacy, billing, and support obligations.</w:t>
      </w:r>
    </w:p>
    <w:p>
      <w:pPr>
        <w:pStyle w:val="Heading1"/>
        <w:spacing w:before="240" w:after="120"/>
      </w:pPr>
      <w:r>
        <w:rPr>
          <w:rFonts w:ascii="Calibri" w:hAnsi="Calibri"/>
          <w:color w:val="000000"/>
        </w:rPr>
        <w:t>Technical mapping: paper concept → VideoText.io implementation</w:t>
      </w:r>
    </w:p>
    <w:tbl>
      <w:tblPr>
        <w:tblStyle w:val="TableGrid"/>
        <w:tblW w:type="auto" w:w="0"/>
        <w:jc w:val="center"/>
        <w:tblLook w:firstColumn="1" w:firstRow="1" w:lastColumn="0" w:lastRow="0" w:noHBand="0" w:noVBand="1" w:val="04A0"/>
      </w:tblPr>
      <w:tblGrid>
        <w:gridCol w:w="2880"/>
        <w:gridCol w:w="2880"/>
        <w:gridCol w:w="2880"/>
      </w:tblGrid>
      <w:tr>
        <w:tc>
          <w:tcPr>
            <w:tcW w:type="dxa" w:w="1944"/>
            <w:shd w:fill="D9D9D9"/>
          </w:tcPr>
          <w:p>
            <w:pPr>
              <w:jc w:val="center"/>
            </w:pPr>
            <w:r/>
            <w:r>
              <w:rPr>
                <w:rFonts w:ascii="Calibri" w:hAnsi="Calibri"/>
                <w:b/>
                <w:sz w:val="20"/>
              </w:rPr>
              <w:t>Paper concept</w:t>
            </w:r>
          </w:p>
        </w:tc>
        <w:tc>
          <w:tcPr>
            <w:tcW w:type="dxa" w:w="2664"/>
            <w:shd w:fill="D9D9D9"/>
          </w:tcPr>
          <w:p>
            <w:pPr>
              <w:jc w:val="center"/>
            </w:pPr>
            <w:r/>
            <w:r>
              <w:rPr>
                <w:rFonts w:ascii="Calibri" w:hAnsi="Calibri"/>
                <w:b/>
                <w:sz w:val="20"/>
              </w:rPr>
              <w:t>Role in the framework</w:t>
            </w:r>
          </w:p>
        </w:tc>
        <w:tc>
          <w:tcPr>
            <w:tcW w:type="dxa" w:w="4320"/>
            <w:shd w:fill="D9D9D9"/>
          </w:tcPr>
          <w:p>
            <w:pPr>
              <w:jc w:val="center"/>
            </w:pPr>
            <w:r/>
            <w:r>
              <w:rPr>
                <w:rFonts w:ascii="Calibri" w:hAnsi="Calibri"/>
                <w:b/>
                <w:sz w:val="20"/>
              </w:rPr>
              <w:t>VideoText.io analogue (production)</w:t>
            </w:r>
          </w:p>
        </w:tc>
      </w:tr>
      <w:tr>
        <w:tc>
          <w:tcPr>
            <w:tcW w:type="dxa" w:w="1944"/>
          </w:tcPr>
          <w:p>
            <w:pPr>
              <w:spacing w:after="60"/>
            </w:pPr>
            <w:r/>
            <w:r>
              <w:rPr>
                <w:rFonts w:ascii="Calibri" w:hAnsi="Calibri"/>
                <w:sz w:val="20"/>
              </w:rPr>
              <w:t>Deterministic execution boundary</w:t>
            </w:r>
          </w:p>
        </w:tc>
        <w:tc>
          <w:tcPr>
            <w:tcW w:type="dxa" w:w="2664"/>
          </w:tcPr>
          <w:p>
            <w:pPr>
              <w:spacing w:after="60"/>
            </w:pPr>
            <w:r/>
            <w:r>
              <w:rPr>
                <w:rFonts w:ascii="Calibri" w:hAnsi="Calibri"/>
                <w:sz w:val="20"/>
              </w:rPr>
              <w:t>All authoritative state transitions and structured outputs live inside a verifiable layer.</w:t>
            </w:r>
          </w:p>
        </w:tc>
        <w:tc>
          <w:tcPr>
            <w:tcW w:type="dxa" w:w="4320"/>
          </w:tcPr>
          <w:p>
            <w:pPr>
              <w:spacing w:after="60"/>
            </w:pPr>
            <w:r/>
            <w:r>
              <w:rPr>
                <w:rFonts w:ascii="Calibri" w:hAnsi="Calibri"/>
                <w:sz w:val="20"/>
              </w:rPr>
              <w:t>FFmpeg pipelines (extract, merge, burn, compress); deterministic transcript post-processing (transcriptFormatter — no LLM); structured exports built from fixed segment lists.</w:t>
            </w:r>
          </w:p>
        </w:tc>
      </w:tr>
      <w:tr>
        <w:tc>
          <w:tcPr>
            <w:tcW w:type="dxa" w:w="1944"/>
          </w:tcPr>
          <w:p>
            <w:pPr>
              <w:spacing w:after="60"/>
            </w:pPr>
            <w:r/>
            <w:r>
              <w:rPr>
                <w:rFonts w:ascii="Calibri" w:hAnsi="Calibri"/>
                <w:sz w:val="20"/>
              </w:rPr>
              <w:t>Formal execution identity S = (D, R, θ, σ)</w:t>
            </w:r>
          </w:p>
        </w:tc>
        <w:tc>
          <w:tcPr>
            <w:tcW w:type="dxa" w:w="2664"/>
          </w:tcPr>
          <w:p>
            <w:pPr>
              <w:spacing w:after="60"/>
            </w:pPr>
            <w:r/>
            <w:r>
              <w:rPr>
                <w:rFonts w:ascii="Calibri" w:hAnsi="Calibri"/>
                <w:sz w:val="20"/>
              </w:rPr>
              <w:t>Identical execution state implies identical deterministic outputs.</w:t>
            </w:r>
          </w:p>
        </w:tc>
        <w:tc>
          <w:tcPr>
            <w:tcW w:type="dxa" w:w="4320"/>
          </w:tcPr>
          <w:p>
            <w:pPr>
              <w:spacing w:after="60"/>
            </w:pPr>
            <w:r/>
            <w:r>
              <w:rPr>
                <w:rFonts w:ascii="Calibri" w:hAnsi="Calibri"/>
                <w:sz w:val="20"/>
              </w:rPr>
              <w:t>Result cache keyed by user + content hash + tool type + sorted options (computeOptionsHash), so repeat jobs with identical inputs resolve to the same cached artifact when caching is enabled.</w:t>
            </w:r>
          </w:p>
        </w:tc>
      </w:tr>
      <w:tr>
        <w:tc>
          <w:tcPr>
            <w:tcW w:type="dxa" w:w="1944"/>
          </w:tcPr>
          <w:p>
            <w:pPr>
              <w:spacing w:after="60"/>
            </w:pPr>
            <w:r/>
            <w:r>
              <w:rPr>
                <w:rFonts w:ascii="Calibri" w:hAnsi="Calibri"/>
                <w:sz w:val="20"/>
              </w:rPr>
              <w:t>Stochastic layer as post-hoc explainer</w:t>
            </w:r>
          </w:p>
        </w:tc>
        <w:tc>
          <w:tcPr>
            <w:tcW w:type="dxa" w:w="2664"/>
          </w:tcPr>
          <w:p>
            <w:pPr>
              <w:spacing w:after="60"/>
            </w:pPr>
            <w:r/>
            <w:r>
              <w:rPr>
                <w:rFonts w:ascii="Calibri" w:hAnsi="Calibri"/>
                <w:sz w:val="20"/>
              </w:rPr>
              <w:t>The LLM cannot introduce or change deterministic classifications.</w:t>
            </w:r>
          </w:p>
        </w:tc>
        <w:tc>
          <w:tcPr>
            <w:tcW w:type="dxa" w:w="4320"/>
          </w:tcPr>
          <w:p>
            <w:pPr>
              <w:spacing w:after="60"/>
            </w:pPr>
            <w:r/>
            <w:r>
              <w:rPr>
                <w:rFonts w:ascii="Calibri" w:hAnsi="Calibri"/>
                <w:sz w:val="20"/>
              </w:rPr>
              <w:t>Transcript text and segments are materialized first; optional summary and chapters run afterward and attach as separate metadata (including deferred summary when Redis is available so the primary download path stays transcript-first). Chapter generation is constrained to timestamps present in deterministic segment input.</w:t>
            </w:r>
          </w:p>
        </w:tc>
      </w:tr>
      <w:tr>
        <w:tc>
          <w:tcPr>
            <w:tcW w:type="dxa" w:w="1944"/>
          </w:tcPr>
          <w:p>
            <w:pPr>
              <w:spacing w:after="60"/>
            </w:pPr>
            <w:r/>
            <w:r>
              <w:rPr>
                <w:rFonts w:ascii="Calibri" w:hAnsi="Calibri"/>
                <w:sz w:val="20"/>
              </w:rPr>
              <w:t>Traceability / auditability</w:t>
            </w:r>
          </w:p>
        </w:tc>
        <w:tc>
          <w:tcPr>
            <w:tcW w:type="dxa" w:w="2664"/>
          </w:tcPr>
          <w:p>
            <w:pPr>
              <w:spacing w:after="60"/>
            </w:pPr>
            <w:r/>
            <w:r>
              <w:rPr>
                <w:rFonts w:ascii="Calibri" w:hAnsi="Calibri"/>
                <w:sz w:val="20"/>
              </w:rPr>
              <w:t>Every decision is attributable to logic and input spans.</w:t>
            </w:r>
          </w:p>
        </w:tc>
        <w:tc>
          <w:tcPr>
            <w:tcW w:type="dxa" w:w="4320"/>
          </w:tcPr>
          <w:p>
            <w:pPr>
              <w:spacing w:after="60"/>
            </w:pPr>
            <w:r/>
            <w:r>
              <w:rPr>
                <w:rFonts w:ascii="Calibri" w:hAnsi="Calibri"/>
                <w:sz w:val="20"/>
              </w:rPr>
              <w:t>Timestamped segments, JSON exports, job and request identifiers, operational logging — suitable for professional workflows that require accountability of outputs.</w:t>
            </w:r>
          </w:p>
        </w:tc>
      </w:tr>
      <w:tr>
        <w:tc>
          <w:tcPr>
            <w:tcW w:type="dxa" w:w="1944"/>
          </w:tcPr>
          <w:p>
            <w:pPr>
              <w:spacing w:after="60"/>
            </w:pPr>
            <w:r/>
            <w:r>
              <w:rPr>
                <w:rFonts w:ascii="Calibri" w:hAnsi="Calibri"/>
                <w:sz w:val="20"/>
              </w:rPr>
              <w:t>Rule-based deterministic control</w:t>
            </w:r>
          </w:p>
        </w:tc>
        <w:tc>
          <w:tcPr>
            <w:tcW w:type="dxa" w:w="2664"/>
          </w:tcPr>
          <w:p>
            <w:pPr>
              <w:spacing w:after="60"/>
            </w:pPr>
            <w:r/>
            <w:r>
              <w:rPr>
                <w:rFonts w:ascii="Calibri" w:hAnsi="Calibri"/>
                <w:sz w:val="20"/>
              </w:rPr>
              <w:t>Pattern logic without stochastic decoding.</w:t>
            </w:r>
          </w:p>
        </w:tc>
        <w:tc>
          <w:tcPr>
            <w:tcW w:type="dxa" w:w="4320"/>
          </w:tcPr>
          <w:p>
            <w:pPr>
              <w:spacing w:after="60"/>
            </w:pPr>
            <w:r/>
            <w:r>
              <w:rPr>
                <w:rFonts w:ascii="Calibri" w:hAnsi="Calibri"/>
                <w:sz w:val="20"/>
              </w:rPr>
              <w:t>Rule-based, deterministic in-app triggers (for example, Tex workflow suggestions: no model inference).</w:t>
            </w:r>
          </w:p>
        </w:tc>
      </w:tr>
      <w:tr>
        <w:tc>
          <w:tcPr>
            <w:tcW w:type="dxa" w:w="1944"/>
          </w:tcPr>
          <w:p>
            <w:pPr>
              <w:spacing w:after="60"/>
            </w:pPr>
            <w:r/>
            <w:r>
              <w:rPr>
                <w:rFonts w:ascii="Calibri" w:hAnsi="Calibri"/>
                <w:sz w:val="20"/>
              </w:rPr>
              <w:t>Domain note in paper</w:t>
            </w:r>
          </w:p>
        </w:tc>
        <w:tc>
          <w:tcPr>
            <w:tcW w:type="dxa" w:w="2664"/>
          </w:tcPr>
          <w:p>
            <w:pPr>
              <w:spacing w:after="60"/>
            </w:pPr>
            <w:r/>
            <w:r>
              <w:rPr>
                <w:rFonts w:ascii="Calibri" w:hAnsi="Calibri"/>
                <w:sz w:val="20"/>
              </w:rPr>
              <w:t>The framework is described as domain-agnostic; the contract study is evaluation, not the only application.</w:t>
            </w:r>
          </w:p>
        </w:tc>
        <w:tc>
          <w:tcPr>
            <w:tcW w:type="dxa" w:w="4320"/>
          </w:tcPr>
          <w:p>
            <w:pPr>
              <w:spacing w:after="60"/>
            </w:pPr>
            <w:r/>
            <w:r>
              <w:rPr>
                <w:rFonts w:ascii="Calibri" w:hAnsi="Calibri"/>
                <w:sz w:val="20"/>
              </w:rPr>
              <w:t>VideoText extends the engineering pattern to media and timed-text pipelines, where reproducibility applies to encoding, formatting, exports, and orchestration, while ASR remains a known stochastic component bounded by the pipeline contract above.</w:t>
            </w:r>
          </w:p>
        </w:tc>
      </w:tr>
    </w:tbl>
    <w:p>
      <w:pPr>
        <w:pStyle w:val="Heading1"/>
        <w:spacing w:before="240" w:after="120"/>
      </w:pPr>
      <w:r>
        <w:rPr>
          <w:rFonts w:ascii="Calibri" w:hAnsi="Calibri"/>
          <w:color w:val="000000"/>
        </w:rPr>
        <w:t>Why this supports “major significance” under Criterion 3</w:t>
      </w:r>
    </w:p>
    <w:p>
      <w:r>
        <w:rPr>
          <w:b/>
        </w:rPr>
        <w:t xml:space="preserve">1. Originality (research). </w:t>
      </w:r>
      <w:r>
        <w:t>The ICCS work is not a prompt tweak; it is a reproducibility-first execution model with empirical measurement of determinism, traceability, variance, and cost, including negative results for “structured output” LLM baselines that still fail execution invariance.</w:t>
      </w:r>
    </w:p>
    <w:p>
      <w:r>
        <w:rPr>
          <w:b/>
        </w:rPr>
        <w:t xml:space="preserve">2. Significance (industry). </w:t>
      </w:r>
      <w:r>
        <w:t>VideoText.io converts that research mindset into shipping software with subscriptions and usage metering, proving the applicant can operationalize hybrid AI systems beyond a lab benchmark — a relatively rare combination in O-1A filings that often show either publications or a product, not a coherent bridge between the two. Independent distribution and review channels reinforce field recognition: the product is featured on IndieHunt, carries a Fazier badge or listing, and is published on G2 and Capterra, which are widely used by buyers to evaluate software — evidence that the contribution sits in the commercial marketplace, not only in a private deployment.</w:t>
      </w:r>
    </w:p>
    <w:p>
      <w:r>
        <w:rPr>
          <w:b/>
        </w:rPr>
        <w:t xml:space="preserve">3. Integrity for adjudication. </w:t>
      </w:r>
      <w:r>
        <w:t>The strongest argument is architectural and professional continuity (deterministic cores where feasible, explicit boundaries for generative layers, traceable artifacts, production hardening), plus the paper’s quantitative guarantees in its evaluated domain. Claiming VideoText reproduces the paper’s 100% determinism for speech transcription would be inaccurate and should not be asserted; the accurate claim is controlled hybrid design and commercial proof of impact grounded in the same research-led engineering philosophy.</w:t>
      </w:r>
    </w:p>
    <w:p>
      <w:pPr>
        <w:pStyle w:val="Heading1"/>
        <w:spacing w:before="240" w:after="120"/>
      </w:pPr>
      <w:r>
        <w:rPr>
          <w:rFonts w:ascii="Calibri" w:hAnsi="Calibri"/>
          <w:color w:val="000000"/>
        </w:rPr>
        <w:t>Third-party recognition — exhibit checklist</w:t>
      </w:r>
    </w:p>
    <w:p>
      <w:r>
        <w:t>Use the following table when assembling Criterion 3 evidence; keep URLs current on the exhibit cover sheet.</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fill="D9D9D9"/>
          </w:tcPr>
          <w:p>
            <w:pPr>
              <w:jc w:val="center"/>
            </w:pPr>
            <w:r/>
            <w:r>
              <w:rPr>
                <w:rFonts w:ascii="Calibri" w:hAnsi="Calibri"/>
                <w:b/>
                <w:sz w:val="20"/>
              </w:rPr>
              <w:t>Channel</w:t>
            </w:r>
          </w:p>
        </w:tc>
        <w:tc>
          <w:tcPr>
            <w:tcW w:type="dxa" w:w="3168"/>
            <w:shd w:fill="D9D9D9"/>
          </w:tcPr>
          <w:p>
            <w:pPr>
              <w:jc w:val="center"/>
            </w:pPr>
            <w:r/>
            <w:r>
              <w:rPr>
                <w:rFonts w:ascii="Calibri" w:hAnsi="Calibri"/>
                <w:b/>
                <w:sz w:val="20"/>
              </w:rPr>
              <w:t>Claim in this memorandum</w:t>
            </w:r>
          </w:p>
        </w:tc>
        <w:tc>
          <w:tcPr>
            <w:tcW w:type="dxa" w:w="4176"/>
            <w:shd w:fill="D9D9D9"/>
          </w:tcPr>
          <w:p>
            <w:pPr>
              <w:jc w:val="center"/>
            </w:pPr>
            <w:r/>
            <w:r>
              <w:rPr>
                <w:rFonts w:ascii="Calibri" w:hAnsi="Calibri"/>
                <w:b/>
                <w:sz w:val="20"/>
              </w:rPr>
              <w:t>Suggested exhibit</w:t>
            </w:r>
          </w:p>
        </w:tc>
      </w:tr>
      <w:tr>
        <w:tc>
          <w:tcPr>
            <w:tcW w:type="dxa" w:w="1584"/>
          </w:tcPr>
          <w:p>
            <w:pPr>
              <w:spacing w:after="60"/>
            </w:pPr>
            <w:r/>
            <w:r>
              <w:rPr>
                <w:rFonts w:ascii="Calibri" w:hAnsi="Calibri"/>
                <w:sz w:val="20"/>
              </w:rPr>
              <w:t>IndieHunt</w:t>
            </w:r>
          </w:p>
        </w:tc>
        <w:tc>
          <w:tcPr>
            <w:tcW w:type="dxa" w:w="3168"/>
          </w:tcPr>
          <w:p>
            <w:pPr>
              <w:spacing w:after="60"/>
            </w:pPr>
            <w:r/>
            <w:r>
              <w:rPr>
                <w:rFonts w:ascii="Calibri" w:hAnsi="Calibri"/>
                <w:sz w:val="20"/>
              </w:rPr>
              <w:t>Featured listing or feature placement for VideoText.io</w:t>
            </w:r>
          </w:p>
        </w:tc>
        <w:tc>
          <w:tcPr>
            <w:tcW w:type="dxa" w:w="4176"/>
          </w:tcPr>
          <w:p>
            <w:pPr>
              <w:spacing w:after="60"/>
            </w:pPr>
            <w:r/>
            <w:r>
              <w:rPr>
                <w:rFonts w:ascii="Calibri" w:hAnsi="Calibri"/>
                <w:sz w:val="20"/>
              </w:rPr>
              <w:t>Screenshot or permalink to the IndieHunt feature page</w:t>
            </w:r>
          </w:p>
        </w:tc>
      </w:tr>
      <w:tr>
        <w:tc>
          <w:tcPr>
            <w:tcW w:type="dxa" w:w="1584"/>
          </w:tcPr>
          <w:p>
            <w:pPr>
              <w:spacing w:after="60"/>
            </w:pPr>
            <w:r/>
            <w:r>
              <w:rPr>
                <w:rFonts w:ascii="Calibri" w:hAnsi="Calibri"/>
                <w:sz w:val="20"/>
              </w:rPr>
              <w:t>Fazier</w:t>
            </w:r>
          </w:p>
        </w:tc>
        <w:tc>
          <w:tcPr>
            <w:tcW w:type="dxa" w:w="3168"/>
          </w:tcPr>
          <w:p>
            <w:pPr>
              <w:spacing w:after="60"/>
            </w:pPr>
            <w:r/>
            <w:r>
              <w:rPr>
                <w:rFonts w:ascii="Calibri" w:hAnsi="Calibri"/>
                <w:sz w:val="20"/>
              </w:rPr>
              <w:t>Fazier badge and/or published product page</w:t>
            </w:r>
          </w:p>
        </w:tc>
        <w:tc>
          <w:tcPr>
            <w:tcW w:type="dxa" w:w="4176"/>
          </w:tcPr>
          <w:p>
            <w:pPr>
              <w:spacing w:after="60"/>
            </w:pPr>
            <w:r/>
            <w:r>
              <w:rPr>
                <w:rFonts w:ascii="Calibri" w:hAnsi="Calibri"/>
                <w:sz w:val="20"/>
              </w:rPr>
              <w:t>Screenshot of badge on site and/or Fazier product URL</w:t>
            </w:r>
          </w:p>
        </w:tc>
      </w:tr>
      <w:tr>
        <w:tc>
          <w:tcPr>
            <w:tcW w:type="dxa" w:w="1584"/>
          </w:tcPr>
          <w:p>
            <w:pPr>
              <w:spacing w:after="60"/>
            </w:pPr>
            <w:r/>
            <w:r>
              <w:rPr>
                <w:rFonts w:ascii="Calibri" w:hAnsi="Calibri"/>
                <w:sz w:val="20"/>
              </w:rPr>
              <w:t>G2</w:t>
            </w:r>
          </w:p>
        </w:tc>
        <w:tc>
          <w:tcPr>
            <w:tcW w:type="dxa" w:w="3168"/>
          </w:tcPr>
          <w:p>
            <w:pPr>
              <w:spacing w:after="60"/>
            </w:pPr>
            <w:r/>
            <w:r>
              <w:rPr>
                <w:rFonts w:ascii="Calibri" w:hAnsi="Calibri"/>
                <w:sz w:val="20"/>
              </w:rPr>
              <w:t>Published product profile</w:t>
            </w:r>
          </w:p>
        </w:tc>
        <w:tc>
          <w:tcPr>
            <w:tcW w:type="dxa" w:w="4176"/>
          </w:tcPr>
          <w:p>
            <w:pPr>
              <w:spacing w:after="60"/>
            </w:pPr>
            <w:r/>
            <w:r>
              <w:rPr>
                <w:rFonts w:ascii="Calibri" w:hAnsi="Calibri"/>
                <w:sz w:val="20"/>
              </w:rPr>
              <w:t>G2 product page URL plus dated screenshot</w:t>
            </w:r>
          </w:p>
        </w:tc>
      </w:tr>
      <w:tr>
        <w:tc>
          <w:tcPr>
            <w:tcW w:type="dxa" w:w="1584"/>
          </w:tcPr>
          <w:p>
            <w:pPr>
              <w:spacing w:after="60"/>
            </w:pPr>
            <w:r/>
            <w:r>
              <w:rPr>
                <w:rFonts w:ascii="Calibri" w:hAnsi="Calibri"/>
                <w:sz w:val="20"/>
              </w:rPr>
              <w:t>Capterra</w:t>
            </w:r>
          </w:p>
        </w:tc>
        <w:tc>
          <w:tcPr>
            <w:tcW w:type="dxa" w:w="3168"/>
          </w:tcPr>
          <w:p>
            <w:pPr>
              <w:spacing w:after="60"/>
            </w:pPr>
            <w:r/>
            <w:r>
              <w:rPr>
                <w:rFonts w:ascii="Calibri" w:hAnsi="Calibri"/>
                <w:sz w:val="20"/>
              </w:rPr>
              <w:t>Published product profile</w:t>
            </w:r>
          </w:p>
        </w:tc>
        <w:tc>
          <w:tcPr>
            <w:tcW w:type="dxa" w:w="4176"/>
          </w:tcPr>
          <w:p>
            <w:pPr>
              <w:spacing w:after="60"/>
            </w:pPr>
            <w:r/>
            <w:r>
              <w:rPr>
                <w:rFonts w:ascii="Calibri" w:hAnsi="Calibri"/>
                <w:sz w:val="20"/>
              </w:rPr>
              <w:t>Capterra product page URL plus dated screenshot</w:t>
            </w:r>
          </w:p>
        </w:tc>
      </w:tr>
    </w:tbl>
    <w:p>
      <w:pPr>
        <w:pStyle w:val="Heading1"/>
        <w:spacing w:before="240" w:after="120"/>
      </w:pPr>
      <w:r>
        <w:rPr>
          <w:rFonts w:ascii="Calibri" w:hAnsi="Calibri"/>
          <w:color w:val="000000"/>
        </w:rPr>
        <w:t>Appendix: Public writing supporting VideoText.io</w:t>
      </w:r>
    </w:p>
    <w:p>
      <w:r>
        <w:t>The following items are public-facing articles used for product education, SEO, and distribution. They are not peer-reviewed scholarship; they supplement this memorandum by showing sustained, field-oriented communication around the same product described above. Immigration counsel may treat this appendix as part of this exhibit or split blog URLs and Medium reprints into separate labeled exhibits, depending on petition strategy.</w:t>
      </w:r>
    </w:p>
    <w:p>
      <w:r>
        <w:t>Recommendation: do not paste full article text into this Word file—keep the packet readable. Provide titles, stable URLs, and (where applicable) publication dates on the exhibit index; archive each URL (for example PDF print-to-file with date) if counsel advises.</w:t>
      </w:r>
    </w:p>
    <w:p>
      <w:pPr>
        <w:pStyle w:val="Heading2"/>
        <w:spacing w:before="200" w:after="120"/>
      </w:pPr>
      <w:r>
        <w:rPr>
          <w:rFonts w:ascii="Calibri" w:hAnsi="Calibri"/>
          <w:color w:val="000000"/>
        </w:rPr>
        <w:t>Article index (title, URL, channel)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D9D9"/>
          </w:tcPr>
          <w:p>
            <w:pPr>
              <w:jc w:val="center"/>
            </w:pPr>
            <w:r/>
            <w:r>
              <w:rPr>
                <w:rFonts w:ascii="Calibri" w:hAnsi="Calibri"/>
                <w:b/>
                <w:sz w:val="20"/>
              </w:rPr>
              <w:t>Title</w:t>
            </w:r>
          </w:p>
        </w:tc>
        <w:tc>
          <w:tcPr>
            <w:tcW w:type="dxa" w:w="3744"/>
            <w:shd w:fill="D9D9D9"/>
          </w:tcPr>
          <w:p>
            <w:pPr>
              <w:jc w:val="center"/>
            </w:pPr>
            <w:r/>
            <w:r>
              <w:rPr>
                <w:rFonts w:ascii="Calibri" w:hAnsi="Calibri"/>
                <w:b/>
                <w:sz w:val="20"/>
              </w:rPr>
              <w:t>URL</w:t>
            </w:r>
          </w:p>
        </w:tc>
        <w:tc>
          <w:tcPr>
            <w:tcW w:type="dxa" w:w="2016"/>
            <w:shd w:fill="D9D9D9"/>
          </w:tcPr>
          <w:p>
            <w:pPr>
              <w:jc w:val="center"/>
            </w:pPr>
            <w:r/>
            <w:r>
              <w:rPr>
                <w:rFonts w:ascii="Calibri" w:hAnsi="Calibri"/>
                <w:b/>
                <w:sz w:val="20"/>
              </w:rPr>
              <w:t>Channel / platform</w:t>
            </w:r>
          </w:p>
        </w:tc>
      </w:tr>
      <w:tr>
        <w:tc>
          <w:tcPr>
            <w:tcW w:type="dxa" w:w="2880"/>
          </w:tcPr>
          <w:p>
            <w:pPr>
              <w:spacing w:after="60"/>
            </w:pPr>
            <w:r/>
            <w:r>
              <w:rPr>
                <w:rFonts w:ascii="Calibri" w:hAnsi="Calibri"/>
                <w:sz w:val="20"/>
              </w:rPr>
              <w:t>90-Minute Video Transcription Speed Test: VideoText vs TurboScribe vs Descript</w:t>
            </w:r>
          </w:p>
        </w:tc>
        <w:tc>
          <w:tcPr>
            <w:tcW w:type="dxa" w:w="3744"/>
          </w:tcPr>
          <w:p>
            <w:pPr>
              <w:spacing w:after="60"/>
            </w:pPr>
            <w:r/>
            <w:r>
              <w:rPr>
                <w:rFonts w:ascii="Calibri" w:hAnsi="Calibri"/>
                <w:sz w:val="20"/>
              </w:rPr>
              <w:t>https://blog.videotext.io/videotext-vs-turboscribe-vs-descript-speed-test</w:t>
            </w:r>
          </w:p>
        </w:tc>
        <w:tc>
          <w:tcPr>
            <w:tcW w:type="dxa" w:w="2016"/>
          </w:tcPr>
          <w:p>
            <w:pPr>
              <w:spacing w:after="60"/>
            </w:pPr>
            <w:r/>
            <w:r>
              <w:rPr>
                <w:rFonts w:ascii="Calibri" w:hAnsi="Calibri"/>
                <w:sz w:val="20"/>
              </w:rPr>
              <w:t>VideoText.io blog</w:t>
            </w:r>
          </w:p>
        </w:tc>
      </w:tr>
      <w:tr>
        <w:tc>
          <w:tcPr>
            <w:tcW w:type="dxa" w:w="2880"/>
          </w:tcPr>
          <w:p>
            <w:pPr>
              <w:spacing w:after="60"/>
            </w:pPr>
            <w:r/>
            <w:r>
              <w:rPr>
                <w:rFonts w:ascii="Calibri" w:hAnsi="Calibri"/>
                <w:sz w:val="20"/>
              </w:rPr>
              <w:t>Batch video transcription for creators and teams (queue many files without losing quality)</w:t>
            </w:r>
          </w:p>
        </w:tc>
        <w:tc>
          <w:tcPr>
            <w:tcW w:type="dxa" w:w="3744"/>
          </w:tcPr>
          <w:p>
            <w:pPr>
              <w:spacing w:after="60"/>
            </w:pPr>
            <w:r/>
            <w:r>
              <w:rPr>
                <w:rFonts w:ascii="Calibri" w:hAnsi="Calibri"/>
                <w:sz w:val="20"/>
              </w:rPr>
              <w:t>https://blog.videotext.io/batch-video-transcription-for-creators-and-teams</w:t>
            </w:r>
          </w:p>
        </w:tc>
        <w:tc>
          <w:tcPr>
            <w:tcW w:type="dxa" w:w="2016"/>
          </w:tcPr>
          <w:p>
            <w:pPr>
              <w:spacing w:after="60"/>
            </w:pPr>
            <w:r/>
            <w:r>
              <w:rPr>
                <w:rFonts w:ascii="Calibri" w:hAnsi="Calibri"/>
                <w:sz w:val="20"/>
              </w:rPr>
              <w:t>VideoText.io blog</w:t>
            </w:r>
          </w:p>
        </w:tc>
      </w:tr>
      <w:tr>
        <w:tc>
          <w:tcPr>
            <w:tcW w:type="dxa" w:w="2880"/>
          </w:tcPr>
          <w:p>
            <w:pPr>
              <w:spacing w:after="60"/>
            </w:pPr>
            <w:r/>
            <w:r>
              <w:rPr>
                <w:rFonts w:ascii="Calibri" w:hAnsi="Calibri"/>
                <w:sz w:val="20"/>
              </w:rPr>
              <w:t>Best Transcription Tool for YouTube Videos (2026 Guide)</w:t>
            </w:r>
          </w:p>
        </w:tc>
        <w:tc>
          <w:tcPr>
            <w:tcW w:type="dxa" w:w="3744"/>
          </w:tcPr>
          <w:p>
            <w:pPr>
              <w:spacing w:after="60"/>
            </w:pPr>
            <w:r/>
            <w:r>
              <w:rPr>
                <w:rFonts w:ascii="Calibri" w:hAnsi="Calibri"/>
                <w:sz w:val="20"/>
              </w:rPr>
              <w:t>https://blog.videotext.io/transcription-tool-youtube</w:t>
            </w:r>
          </w:p>
        </w:tc>
        <w:tc>
          <w:tcPr>
            <w:tcW w:type="dxa" w:w="2016"/>
          </w:tcPr>
          <w:p>
            <w:pPr>
              <w:spacing w:after="60"/>
            </w:pPr>
            <w:r/>
            <w:r>
              <w:rPr>
                <w:rFonts w:ascii="Calibri" w:hAnsi="Calibri"/>
                <w:sz w:val="20"/>
              </w:rPr>
              <w:t>VideoText.io blog</w:t>
            </w:r>
          </w:p>
        </w:tc>
      </w:tr>
      <w:tr>
        <w:tc>
          <w:tcPr>
            <w:tcW w:type="dxa" w:w="2880"/>
          </w:tcPr>
          <w:p>
            <w:pPr>
              <w:spacing w:after="60"/>
            </w:pPr>
            <w:r/>
            <w:r>
              <w:rPr>
                <w:rFonts w:ascii="Calibri" w:hAnsi="Calibri"/>
                <w:sz w:val="20"/>
              </w:rPr>
              <w:t>Best Transcription Tools 2026: TurboScribe, Otter, Descript, Rev — and the One That Actually Finishes the Job</w:t>
            </w:r>
          </w:p>
        </w:tc>
        <w:tc>
          <w:tcPr>
            <w:tcW w:type="dxa" w:w="3744"/>
          </w:tcPr>
          <w:p>
            <w:pPr>
              <w:spacing w:after="60"/>
            </w:pPr>
            <w:r/>
            <w:r>
              <w:rPr>
                <w:rFonts w:ascii="Calibri" w:hAnsi="Calibri"/>
                <w:sz w:val="20"/>
              </w:rPr>
              <w:t>https://blog.videotext.io/best-transcription-tools-2026</w:t>
            </w:r>
          </w:p>
        </w:tc>
        <w:tc>
          <w:tcPr>
            <w:tcW w:type="dxa" w:w="2016"/>
          </w:tcPr>
          <w:p>
            <w:pPr>
              <w:spacing w:after="60"/>
            </w:pPr>
            <w:r/>
            <w:r>
              <w:rPr>
                <w:rFonts w:ascii="Calibri" w:hAnsi="Calibri"/>
                <w:sz w:val="20"/>
              </w:rPr>
              <w:t>VideoText.io blog</w:t>
            </w:r>
          </w:p>
        </w:tc>
      </w:tr>
      <w:tr>
        <w:tc>
          <w:tcPr>
            <w:tcW w:type="dxa" w:w="2880"/>
          </w:tcPr>
          <w:p>
            <w:pPr>
              <w:spacing w:after="60"/>
            </w:pPr>
            <w:r/>
            <w:r>
              <w:rPr>
                <w:rFonts w:ascii="Calibri" w:hAnsi="Calibri"/>
                <w:sz w:val="20"/>
              </w:rPr>
              <w:t>Clean verbatim vs full verbatim for transcription freelancers (examples + payouts)</w:t>
            </w:r>
          </w:p>
        </w:tc>
        <w:tc>
          <w:tcPr>
            <w:tcW w:type="dxa" w:w="3744"/>
          </w:tcPr>
          <w:p>
            <w:pPr>
              <w:spacing w:after="60"/>
            </w:pPr>
            <w:r/>
            <w:r>
              <w:rPr>
                <w:rFonts w:ascii="Calibri" w:hAnsi="Calibri"/>
                <w:sz w:val="20"/>
              </w:rPr>
              <w:t>https://blog.videotext.io/clean-verbatim-vs-full-verbatim</w:t>
            </w:r>
          </w:p>
        </w:tc>
        <w:tc>
          <w:tcPr>
            <w:tcW w:type="dxa" w:w="2016"/>
          </w:tcPr>
          <w:p>
            <w:pPr>
              <w:spacing w:after="60"/>
            </w:pPr>
            <w:r/>
            <w:r>
              <w:rPr>
                <w:rFonts w:ascii="Calibri" w:hAnsi="Calibri"/>
                <w:sz w:val="20"/>
              </w:rPr>
              <w:t>VideoText.io blog</w:t>
            </w:r>
          </w:p>
        </w:tc>
      </w:tr>
      <w:tr>
        <w:tc>
          <w:tcPr>
            <w:tcW w:type="dxa" w:w="2880"/>
          </w:tcPr>
          <w:p>
            <w:pPr>
              <w:spacing w:after="60"/>
            </w:pPr>
            <w:r/>
            <w:r>
              <w:rPr>
                <w:rFonts w:ascii="Calibri" w:hAnsi="Calibri"/>
                <w:sz w:val="20"/>
              </w:rPr>
              <w:t>Freelance transcription style guide cheatsheet for GoTranscript, Scribie, and custom PDF briefs</w:t>
            </w:r>
          </w:p>
        </w:tc>
        <w:tc>
          <w:tcPr>
            <w:tcW w:type="dxa" w:w="3744"/>
          </w:tcPr>
          <w:p>
            <w:pPr>
              <w:spacing w:after="60"/>
            </w:pPr>
            <w:r/>
            <w:r>
              <w:rPr>
                <w:rFonts w:ascii="Calibri" w:hAnsi="Calibri"/>
                <w:sz w:val="20"/>
              </w:rPr>
              <w:t>https://blog.videotext.io/freelance-transcription-style-guide-cheatsheet</w:t>
            </w:r>
          </w:p>
        </w:tc>
        <w:tc>
          <w:tcPr>
            <w:tcW w:type="dxa" w:w="2016"/>
          </w:tcPr>
          <w:p>
            <w:pPr>
              <w:spacing w:after="60"/>
            </w:pPr>
            <w:r/>
            <w:r>
              <w:rPr>
                <w:rFonts w:ascii="Calibri" w:hAnsi="Calibri"/>
                <w:sz w:val="20"/>
              </w:rPr>
              <w:t>VideoText.io blog</w:t>
            </w:r>
          </w:p>
        </w:tc>
      </w:tr>
      <w:tr>
        <w:tc>
          <w:tcPr>
            <w:tcW w:type="dxa" w:w="2880"/>
          </w:tcPr>
          <w:p>
            <w:pPr>
              <w:spacing w:after="60"/>
            </w:pPr>
            <w:r/>
            <w:r>
              <w:rPr>
                <w:rFonts w:ascii="Calibri" w:hAnsi="Calibri"/>
                <w:sz w:val="20"/>
              </w:rPr>
              <w:t>Generate SRT subtitles from video online (MP4 to captions that editors actually ship)</w:t>
            </w:r>
          </w:p>
        </w:tc>
        <w:tc>
          <w:tcPr>
            <w:tcW w:type="dxa" w:w="3744"/>
          </w:tcPr>
          <w:p>
            <w:pPr>
              <w:spacing w:after="60"/>
            </w:pPr>
            <w:r/>
            <w:r>
              <w:rPr>
                <w:rFonts w:ascii="Calibri" w:hAnsi="Calibri"/>
                <w:sz w:val="20"/>
              </w:rPr>
              <w:t>https://blog.videotext.io/generate-srt-subtitles-from-video-online</w:t>
            </w:r>
          </w:p>
        </w:tc>
        <w:tc>
          <w:tcPr>
            <w:tcW w:type="dxa" w:w="2016"/>
          </w:tcPr>
          <w:p>
            <w:pPr>
              <w:spacing w:after="60"/>
            </w:pPr>
            <w:r/>
            <w:r>
              <w:rPr>
                <w:rFonts w:ascii="Calibri" w:hAnsi="Calibri"/>
                <w:sz w:val="20"/>
              </w:rPr>
              <w:t>VideoText.io blog</w:t>
            </w:r>
          </w:p>
        </w:tc>
      </w:tr>
      <w:tr>
        <w:tc>
          <w:tcPr>
            <w:tcW w:type="dxa" w:w="2880"/>
          </w:tcPr>
          <w:p>
            <w:pPr>
              <w:spacing w:after="60"/>
            </w:pPr>
            <w:r/>
            <w:r>
              <w:rPr>
                <w:rFonts w:ascii="Calibri" w:hAnsi="Calibri"/>
                <w:sz w:val="20"/>
              </w:rPr>
              <w:t>How Accurate Is Whisper Large-v3 on Difficult Audio?</w:t>
            </w:r>
          </w:p>
        </w:tc>
        <w:tc>
          <w:tcPr>
            <w:tcW w:type="dxa" w:w="3744"/>
          </w:tcPr>
          <w:p>
            <w:pPr>
              <w:spacing w:after="60"/>
            </w:pPr>
            <w:r/>
            <w:r>
              <w:rPr>
                <w:rFonts w:ascii="Calibri" w:hAnsi="Calibri"/>
                <w:sz w:val="20"/>
              </w:rPr>
              <w:t>https://blog.videotext.io/whisper-large-v3-accuracy-difficult-audio</w:t>
            </w:r>
          </w:p>
        </w:tc>
        <w:tc>
          <w:tcPr>
            <w:tcW w:type="dxa" w:w="2016"/>
          </w:tcPr>
          <w:p>
            <w:pPr>
              <w:spacing w:after="60"/>
            </w:pPr>
            <w:r/>
            <w:r>
              <w:rPr>
                <w:rFonts w:ascii="Calibri" w:hAnsi="Calibri"/>
                <w:sz w:val="20"/>
              </w:rPr>
              <w:t>VideoText.io blog</w:t>
            </w:r>
          </w:p>
        </w:tc>
      </w:tr>
      <w:tr>
        <w:tc>
          <w:tcPr>
            <w:tcW w:type="dxa" w:w="2880"/>
          </w:tcPr>
          <w:p>
            <w:pPr>
              <w:spacing w:after="60"/>
            </w:pPr>
            <w:r/>
            <w:r>
              <w:rPr>
                <w:rFonts w:ascii="Calibri" w:hAnsi="Calibri"/>
                <w:sz w:val="20"/>
              </w:rPr>
              <w:t>How Agencies Process 100+ Hours of Audio Per Week</w:t>
            </w:r>
          </w:p>
        </w:tc>
        <w:tc>
          <w:tcPr>
            <w:tcW w:type="dxa" w:w="3744"/>
          </w:tcPr>
          <w:p>
            <w:pPr>
              <w:spacing w:after="60"/>
            </w:pPr>
            <w:r/>
            <w:r>
              <w:rPr>
                <w:rFonts w:ascii="Calibri" w:hAnsi="Calibri"/>
                <w:sz w:val="20"/>
              </w:rPr>
              <w:t>https://blog.videotext.io/how-agencies-process-100-hours-audio</w:t>
            </w:r>
          </w:p>
        </w:tc>
        <w:tc>
          <w:tcPr>
            <w:tcW w:type="dxa" w:w="2016"/>
          </w:tcPr>
          <w:p>
            <w:pPr>
              <w:spacing w:after="60"/>
            </w:pPr>
            <w:r/>
            <w:r>
              <w:rPr>
                <w:rFonts w:ascii="Calibri" w:hAnsi="Calibri"/>
                <w:sz w:val="20"/>
              </w:rPr>
              <w:t>VideoText.io blog</w:t>
            </w:r>
          </w:p>
        </w:tc>
      </w:tr>
      <w:tr>
        <w:tc>
          <w:tcPr>
            <w:tcW w:type="dxa" w:w="2880"/>
          </w:tcPr>
          <w:p>
            <w:pPr>
              <w:spacing w:after="60"/>
            </w:pPr>
            <w:r/>
            <w:r>
              <w:rPr>
                <w:rFonts w:ascii="Calibri" w:hAnsi="Calibri"/>
                <w:sz w:val="20"/>
              </w:rPr>
              <w:t>How Professional Transcriptionists Actually Clean Transcripts</w:t>
            </w:r>
          </w:p>
        </w:tc>
        <w:tc>
          <w:tcPr>
            <w:tcW w:type="dxa" w:w="3744"/>
          </w:tcPr>
          <w:p>
            <w:pPr>
              <w:spacing w:after="60"/>
            </w:pPr>
            <w:r/>
            <w:r>
              <w:rPr>
                <w:rFonts w:ascii="Calibri" w:hAnsi="Calibri"/>
                <w:sz w:val="20"/>
              </w:rPr>
              <w:t>https://blog.videotext.io/how-professional-transcriptionists-clean-transcripts</w:t>
            </w:r>
          </w:p>
        </w:tc>
        <w:tc>
          <w:tcPr>
            <w:tcW w:type="dxa" w:w="2016"/>
          </w:tcPr>
          <w:p>
            <w:pPr>
              <w:spacing w:after="60"/>
            </w:pPr>
            <w:r/>
            <w:r>
              <w:rPr>
                <w:rFonts w:ascii="Calibri" w:hAnsi="Calibri"/>
                <w:sz w:val="20"/>
              </w:rPr>
              <w:t>VideoText.io blog</w:t>
            </w:r>
          </w:p>
        </w:tc>
      </w:tr>
      <w:tr>
        <w:tc>
          <w:tcPr>
            <w:tcW w:type="dxa" w:w="2880"/>
          </w:tcPr>
          <w:p>
            <w:pPr>
              <w:spacing w:after="60"/>
            </w:pPr>
            <w:r/>
            <w:r>
              <w:rPr>
                <w:rFonts w:ascii="Calibri" w:hAnsi="Calibri"/>
                <w:sz w:val="20"/>
              </w:rPr>
              <w:t>How to earn more per hour as a transcriptionist without burning out</w:t>
            </w:r>
          </w:p>
        </w:tc>
        <w:tc>
          <w:tcPr>
            <w:tcW w:type="dxa" w:w="3744"/>
          </w:tcPr>
          <w:p>
            <w:pPr>
              <w:spacing w:after="60"/>
            </w:pPr>
            <w:r/>
            <w:r>
              <w:rPr>
                <w:rFonts w:ascii="Calibri" w:hAnsi="Calibri"/>
                <w:sz w:val="20"/>
              </w:rPr>
              <w:t>https://blog.videotext.io/how-to-earn-more-per-hour-as-a-transcriptionist</w:t>
            </w:r>
          </w:p>
        </w:tc>
        <w:tc>
          <w:tcPr>
            <w:tcW w:type="dxa" w:w="2016"/>
          </w:tcPr>
          <w:p>
            <w:pPr>
              <w:spacing w:after="60"/>
            </w:pPr>
            <w:r/>
            <w:r>
              <w:rPr>
                <w:rFonts w:ascii="Calibri" w:hAnsi="Calibri"/>
                <w:sz w:val="20"/>
              </w:rPr>
              <w:t>VideoText.io blog</w:t>
            </w:r>
          </w:p>
        </w:tc>
      </w:tr>
      <w:tr>
        <w:tc>
          <w:tcPr>
            <w:tcW w:type="dxa" w:w="2880"/>
          </w:tcPr>
          <w:p>
            <w:pPr>
              <w:spacing w:after="60"/>
            </w:pPr>
            <w:r/>
            <w:r>
              <w:rPr>
                <w:rFonts w:ascii="Calibri" w:hAnsi="Calibri"/>
                <w:sz w:val="20"/>
              </w:rPr>
              <w:t>How to Transcribe a 2-Hour Video in Minutes (Step-by-Step Guide)</w:t>
            </w:r>
          </w:p>
        </w:tc>
        <w:tc>
          <w:tcPr>
            <w:tcW w:type="dxa" w:w="3744"/>
          </w:tcPr>
          <w:p>
            <w:pPr>
              <w:spacing w:after="60"/>
            </w:pPr>
            <w:r/>
            <w:r>
              <w:rPr>
                <w:rFonts w:ascii="Calibri" w:hAnsi="Calibri"/>
                <w:sz w:val="20"/>
              </w:rPr>
              <w:t>https://blog.videotext.io/transcribe-long-video</w:t>
            </w:r>
          </w:p>
        </w:tc>
        <w:tc>
          <w:tcPr>
            <w:tcW w:type="dxa" w:w="2016"/>
          </w:tcPr>
          <w:p>
            <w:pPr>
              <w:spacing w:after="60"/>
            </w:pPr>
            <w:r/>
            <w:r>
              <w:rPr>
                <w:rFonts w:ascii="Calibri" w:hAnsi="Calibri"/>
                <w:sz w:val="20"/>
              </w:rPr>
              <w:t>VideoText.io blog</w:t>
            </w:r>
          </w:p>
        </w:tc>
      </w:tr>
      <w:tr>
        <w:tc>
          <w:tcPr>
            <w:tcW w:type="dxa" w:w="2880"/>
          </w:tcPr>
          <w:p>
            <w:pPr>
              <w:spacing w:after="60"/>
            </w:pPr>
            <w:r/>
            <w:r>
              <w:rPr>
                <w:rFonts w:ascii="Calibri" w:hAnsi="Calibri"/>
                <w:sz w:val="20"/>
              </w:rPr>
              <w:t>Human QA vs AI QA: Where Errors Actually Happen</w:t>
            </w:r>
          </w:p>
        </w:tc>
        <w:tc>
          <w:tcPr>
            <w:tcW w:type="dxa" w:w="3744"/>
          </w:tcPr>
          <w:p>
            <w:pPr>
              <w:spacing w:after="60"/>
            </w:pPr>
            <w:r/>
            <w:r>
              <w:rPr>
                <w:rFonts w:ascii="Calibri" w:hAnsi="Calibri"/>
                <w:sz w:val="20"/>
              </w:rPr>
              <w:t>https://blog.videotext.io/human-qa-vs-ai-qa-where-errors-happen</w:t>
            </w:r>
          </w:p>
        </w:tc>
        <w:tc>
          <w:tcPr>
            <w:tcW w:type="dxa" w:w="2016"/>
          </w:tcPr>
          <w:p>
            <w:pPr>
              <w:spacing w:after="60"/>
            </w:pPr>
            <w:r/>
            <w:r>
              <w:rPr>
                <w:rFonts w:ascii="Calibri" w:hAnsi="Calibri"/>
                <w:sz w:val="20"/>
              </w:rPr>
              <w:t>VideoText.io blog</w:t>
            </w:r>
          </w:p>
        </w:tc>
      </w:tr>
      <w:tr>
        <w:tc>
          <w:tcPr>
            <w:tcW w:type="dxa" w:w="2880"/>
          </w:tcPr>
          <w:p>
            <w:pPr>
              <w:spacing w:after="60"/>
            </w:pPr>
            <w:r/>
            <w:r>
              <w:rPr>
                <w:rFonts w:ascii="Calibri" w:hAnsi="Calibri"/>
                <w:sz w:val="20"/>
              </w:rPr>
              <w:t>Manual Timestamp Fixing Is Wasting Hours of Your Week</w:t>
            </w:r>
          </w:p>
        </w:tc>
        <w:tc>
          <w:tcPr>
            <w:tcW w:type="dxa" w:w="3744"/>
          </w:tcPr>
          <w:p>
            <w:pPr>
              <w:spacing w:after="60"/>
            </w:pPr>
            <w:r/>
            <w:r>
              <w:rPr>
                <w:rFonts w:ascii="Calibri" w:hAnsi="Calibri"/>
                <w:sz w:val="20"/>
              </w:rPr>
              <w:t>https://blog.videotext.io/manual-timestamp-fixing-is-wasting-hours</w:t>
            </w:r>
          </w:p>
        </w:tc>
        <w:tc>
          <w:tcPr>
            <w:tcW w:type="dxa" w:w="2016"/>
          </w:tcPr>
          <w:p>
            <w:pPr>
              <w:spacing w:after="60"/>
            </w:pPr>
            <w:r/>
            <w:r>
              <w:rPr>
                <w:rFonts w:ascii="Calibri" w:hAnsi="Calibri"/>
                <w:sz w:val="20"/>
              </w:rPr>
              <w:t>VideoText.io blog</w:t>
            </w:r>
          </w:p>
        </w:tc>
      </w:tr>
      <w:tr>
        <w:tc>
          <w:tcPr>
            <w:tcW w:type="dxa" w:w="2880"/>
          </w:tcPr>
          <w:p>
            <w:pPr>
              <w:spacing w:after="60"/>
            </w:pPr>
            <w:r/>
            <w:r>
              <w:rPr>
                <w:rFonts w:ascii="Calibri" w:hAnsi="Calibri"/>
                <w:sz w:val="20"/>
              </w:rPr>
              <w:t>Otter vs Descript vs TurboScribe: Which Transcription Tool Actually Saves Time?</w:t>
            </w:r>
          </w:p>
        </w:tc>
        <w:tc>
          <w:tcPr>
            <w:tcW w:type="dxa" w:w="3744"/>
          </w:tcPr>
          <w:p>
            <w:pPr>
              <w:spacing w:after="60"/>
            </w:pPr>
            <w:r/>
            <w:r>
              <w:rPr>
                <w:rFonts w:ascii="Calibri" w:hAnsi="Calibri"/>
                <w:sz w:val="20"/>
              </w:rPr>
              <w:t>https://blog.videotext.io/otter-vs-descript-vs-turboscribe</w:t>
            </w:r>
          </w:p>
        </w:tc>
        <w:tc>
          <w:tcPr>
            <w:tcW w:type="dxa" w:w="2016"/>
          </w:tcPr>
          <w:p>
            <w:pPr>
              <w:spacing w:after="60"/>
            </w:pPr>
            <w:r/>
            <w:r>
              <w:rPr>
                <w:rFonts w:ascii="Calibri" w:hAnsi="Calibri"/>
                <w:sz w:val="20"/>
              </w:rPr>
              <w:t>VideoText.io blog</w:t>
            </w:r>
          </w:p>
        </w:tc>
      </w:tr>
      <w:tr>
        <w:tc>
          <w:tcPr>
            <w:tcW w:type="dxa" w:w="2880"/>
          </w:tcPr>
          <w:p>
            <w:pPr>
              <w:spacing w:after="60"/>
            </w:pPr>
            <w:r/>
            <w:r>
              <w:rPr>
                <w:rFonts w:ascii="Calibri" w:hAnsi="Calibri"/>
                <w:sz w:val="20"/>
              </w:rPr>
              <w:t>Rev Style Guide Formatting Errors We See Repeatedly</w:t>
            </w:r>
          </w:p>
        </w:tc>
        <w:tc>
          <w:tcPr>
            <w:tcW w:type="dxa" w:w="3744"/>
          </w:tcPr>
          <w:p>
            <w:pPr>
              <w:spacing w:after="60"/>
            </w:pPr>
            <w:r/>
            <w:r>
              <w:rPr>
                <w:rFonts w:ascii="Calibri" w:hAnsi="Calibri"/>
                <w:sz w:val="20"/>
              </w:rPr>
              <w:t>https://blog.videotext.io/rev-style-guide-formatting-errors</w:t>
            </w:r>
          </w:p>
        </w:tc>
        <w:tc>
          <w:tcPr>
            <w:tcW w:type="dxa" w:w="2016"/>
          </w:tcPr>
          <w:p>
            <w:pPr>
              <w:spacing w:after="60"/>
            </w:pPr>
            <w:r/>
            <w:r>
              <w:rPr>
                <w:rFonts w:ascii="Calibri" w:hAnsi="Calibri"/>
                <w:sz w:val="20"/>
              </w:rPr>
              <w:t>VideoText.io blog</w:t>
            </w:r>
          </w:p>
        </w:tc>
      </w:tr>
      <w:tr>
        <w:tc>
          <w:tcPr>
            <w:tcW w:type="dxa" w:w="2880"/>
          </w:tcPr>
          <w:p>
            <w:pPr>
              <w:spacing w:after="60"/>
            </w:pPr>
            <w:r/>
            <w:r>
              <w:rPr>
                <w:rFonts w:ascii="Calibri" w:hAnsi="Calibri"/>
                <w:sz w:val="20"/>
              </w:rPr>
              <w:t>Rev style guide transcript formatter: map rough AI text to payout rules</w:t>
            </w:r>
          </w:p>
        </w:tc>
        <w:tc>
          <w:tcPr>
            <w:tcW w:type="dxa" w:w="3744"/>
          </w:tcPr>
          <w:p>
            <w:pPr>
              <w:spacing w:after="60"/>
            </w:pPr>
            <w:r/>
            <w:r>
              <w:rPr>
                <w:rFonts w:ascii="Calibri" w:hAnsi="Calibri"/>
                <w:sz w:val="20"/>
              </w:rPr>
              <w:t>https://blog.videotext.io/rev-style-guide-transcript-formatter</w:t>
            </w:r>
          </w:p>
        </w:tc>
        <w:tc>
          <w:tcPr>
            <w:tcW w:type="dxa" w:w="2016"/>
          </w:tcPr>
          <w:p>
            <w:pPr>
              <w:spacing w:after="60"/>
            </w:pPr>
            <w:r/>
            <w:r>
              <w:rPr>
                <w:rFonts w:ascii="Calibri" w:hAnsi="Calibri"/>
                <w:sz w:val="20"/>
              </w:rPr>
              <w:t>VideoText.io blog</w:t>
            </w:r>
          </w:p>
        </w:tc>
      </w:tr>
      <w:tr>
        <w:tc>
          <w:tcPr>
            <w:tcW w:type="dxa" w:w="2880"/>
          </w:tcPr>
          <w:p>
            <w:pPr>
              <w:spacing w:after="60"/>
            </w:pPr>
            <w:r/>
            <w:r>
              <w:rPr>
                <w:rFonts w:ascii="Calibri" w:hAnsi="Calibri"/>
                <w:sz w:val="20"/>
              </w:rPr>
              <w:t>Speaker Diarization Problems Nobody Talks About</w:t>
            </w:r>
          </w:p>
        </w:tc>
        <w:tc>
          <w:tcPr>
            <w:tcW w:type="dxa" w:w="3744"/>
          </w:tcPr>
          <w:p>
            <w:pPr>
              <w:spacing w:after="60"/>
            </w:pPr>
            <w:r/>
            <w:r>
              <w:rPr>
                <w:rFonts w:ascii="Calibri" w:hAnsi="Calibri"/>
                <w:sz w:val="20"/>
              </w:rPr>
              <w:t>https://blog.videotext.io/speaker-diarization-problems-nobody-talks-about</w:t>
            </w:r>
          </w:p>
        </w:tc>
        <w:tc>
          <w:tcPr>
            <w:tcW w:type="dxa" w:w="2016"/>
          </w:tcPr>
          <w:p>
            <w:pPr>
              <w:spacing w:after="60"/>
            </w:pPr>
            <w:r/>
            <w:r>
              <w:rPr>
                <w:rFonts w:ascii="Calibri" w:hAnsi="Calibri"/>
                <w:sz w:val="20"/>
              </w:rPr>
              <w:t>VideoText.io blog</w:t>
            </w:r>
          </w:p>
        </w:tc>
      </w:tr>
      <w:tr>
        <w:tc>
          <w:tcPr>
            <w:tcW w:type="dxa" w:w="2880"/>
          </w:tcPr>
          <w:p>
            <w:pPr>
              <w:spacing w:after="60"/>
            </w:pPr>
            <w:r/>
            <w:r>
              <w:rPr>
                <w:rFonts w:ascii="Calibri" w:hAnsi="Calibri"/>
                <w:sz w:val="20"/>
              </w:rPr>
              <w:t>The Hidden Cost of Multi-Tool Transcription Workflows</w:t>
            </w:r>
          </w:p>
        </w:tc>
        <w:tc>
          <w:tcPr>
            <w:tcW w:type="dxa" w:w="3744"/>
          </w:tcPr>
          <w:p>
            <w:pPr>
              <w:spacing w:after="60"/>
            </w:pPr>
            <w:r/>
            <w:r>
              <w:rPr>
                <w:rFonts w:ascii="Calibri" w:hAnsi="Calibri"/>
                <w:sz w:val="20"/>
              </w:rPr>
              <w:t>https://blog.videotext.io/hidden-cost-of-multi-tool-transcription-workflows</w:t>
            </w:r>
          </w:p>
        </w:tc>
        <w:tc>
          <w:tcPr>
            <w:tcW w:type="dxa" w:w="2016"/>
          </w:tcPr>
          <w:p>
            <w:pPr>
              <w:spacing w:after="60"/>
            </w:pPr>
            <w:r/>
            <w:r>
              <w:rPr>
                <w:rFonts w:ascii="Calibri" w:hAnsi="Calibri"/>
                <w:sz w:val="20"/>
              </w:rPr>
              <w:t>VideoText.io blog</w:t>
            </w:r>
          </w:p>
        </w:tc>
      </w:tr>
      <w:tr>
        <w:tc>
          <w:tcPr>
            <w:tcW w:type="dxa" w:w="2880"/>
          </w:tcPr>
          <w:p>
            <w:pPr>
              <w:spacing w:after="60"/>
            </w:pPr>
            <w:r/>
            <w:r>
              <w:rPr>
                <w:rFonts w:ascii="Calibri" w:hAnsi="Calibri"/>
                <w:sz w:val="20"/>
              </w:rPr>
              <w:t>The Real Workflow Behind Transcript QA Review</w:t>
            </w:r>
          </w:p>
        </w:tc>
        <w:tc>
          <w:tcPr>
            <w:tcW w:type="dxa" w:w="3744"/>
          </w:tcPr>
          <w:p>
            <w:pPr>
              <w:spacing w:after="60"/>
            </w:pPr>
            <w:r/>
            <w:r>
              <w:rPr>
                <w:rFonts w:ascii="Calibri" w:hAnsi="Calibri"/>
                <w:sz w:val="20"/>
              </w:rPr>
              <w:t>https://blog.videotext.io/real-workflow-behind-qa-review</w:t>
            </w:r>
          </w:p>
        </w:tc>
        <w:tc>
          <w:tcPr>
            <w:tcW w:type="dxa" w:w="2016"/>
          </w:tcPr>
          <w:p>
            <w:pPr>
              <w:spacing w:after="60"/>
            </w:pPr>
            <w:r/>
            <w:r>
              <w:rPr>
                <w:rFonts w:ascii="Calibri" w:hAnsi="Calibri"/>
                <w:sz w:val="20"/>
              </w:rPr>
              <w:t>VideoText.io blog</w:t>
            </w:r>
          </w:p>
        </w:tc>
      </w:tr>
      <w:tr>
        <w:tc>
          <w:tcPr>
            <w:tcW w:type="dxa" w:w="2880"/>
          </w:tcPr>
          <w:p>
            <w:pPr>
              <w:spacing w:after="60"/>
            </w:pPr>
            <w:r/>
            <w:r>
              <w:rPr>
                <w:rFonts w:ascii="Calibri" w:hAnsi="Calibri"/>
                <w:sz w:val="20"/>
              </w:rPr>
              <w:t>Translate SRT and VTT subtitle files online (keep timecodes + ship bilingual captions)</w:t>
            </w:r>
          </w:p>
        </w:tc>
        <w:tc>
          <w:tcPr>
            <w:tcW w:type="dxa" w:w="3744"/>
          </w:tcPr>
          <w:p>
            <w:pPr>
              <w:spacing w:after="60"/>
            </w:pPr>
            <w:r/>
            <w:r>
              <w:rPr>
                <w:rFonts w:ascii="Calibri" w:hAnsi="Calibri"/>
                <w:sz w:val="20"/>
              </w:rPr>
              <w:t>https://blog.videotext.io/translate-subtitle-files-srt-vtt-online</w:t>
            </w:r>
          </w:p>
        </w:tc>
        <w:tc>
          <w:tcPr>
            <w:tcW w:type="dxa" w:w="2016"/>
          </w:tcPr>
          <w:p>
            <w:pPr>
              <w:spacing w:after="60"/>
            </w:pPr>
            <w:r/>
            <w:r>
              <w:rPr>
                <w:rFonts w:ascii="Calibri" w:hAnsi="Calibri"/>
                <w:sz w:val="20"/>
              </w:rPr>
              <w:t>VideoText.io blog</w:t>
            </w:r>
          </w:p>
        </w:tc>
      </w:tr>
      <w:tr>
        <w:tc>
          <w:tcPr>
            <w:tcW w:type="dxa" w:w="2880"/>
          </w:tcPr>
          <w:p>
            <w:pPr>
              <w:spacing w:after="60"/>
            </w:pPr>
            <w:r/>
            <w:r>
              <w:rPr>
                <w:rFonts w:ascii="Calibri" w:hAnsi="Calibri"/>
                <w:sz w:val="20"/>
              </w:rPr>
              <w:t>TurboScribe Alternative: The Best Option for Faster, Structured Transcription (2026)</w:t>
            </w:r>
          </w:p>
        </w:tc>
        <w:tc>
          <w:tcPr>
            <w:tcW w:type="dxa" w:w="3744"/>
          </w:tcPr>
          <w:p>
            <w:pPr>
              <w:spacing w:after="60"/>
            </w:pPr>
            <w:r/>
            <w:r>
              <w:rPr>
                <w:rFonts w:ascii="Calibri" w:hAnsi="Calibri"/>
                <w:sz w:val="20"/>
              </w:rPr>
              <w:t>https://blog.videotext.io/turboscribe-alternative</w:t>
            </w:r>
          </w:p>
        </w:tc>
        <w:tc>
          <w:tcPr>
            <w:tcW w:type="dxa" w:w="2016"/>
          </w:tcPr>
          <w:p>
            <w:pPr>
              <w:spacing w:after="60"/>
            </w:pPr>
            <w:r/>
            <w:r>
              <w:rPr>
                <w:rFonts w:ascii="Calibri" w:hAnsi="Calibri"/>
                <w:sz w:val="20"/>
              </w:rPr>
              <w:t>VideoText.io blog</w:t>
            </w:r>
          </w:p>
        </w:tc>
      </w:tr>
      <w:tr>
        <w:tc>
          <w:tcPr>
            <w:tcW w:type="dxa" w:w="2880"/>
          </w:tcPr>
          <w:p>
            <w:pPr>
              <w:spacing w:after="60"/>
            </w:pPr>
            <w:r/>
            <w:r>
              <w:rPr>
                <w:rFonts w:ascii="Calibri" w:hAnsi="Calibri"/>
                <w:sz w:val="20"/>
              </w:rPr>
              <w:t>What is transcript QA? Checklist freelancers + agencies both use before delivery</w:t>
            </w:r>
          </w:p>
        </w:tc>
        <w:tc>
          <w:tcPr>
            <w:tcW w:type="dxa" w:w="3744"/>
          </w:tcPr>
          <w:p>
            <w:pPr>
              <w:spacing w:after="60"/>
            </w:pPr>
            <w:r/>
            <w:r>
              <w:rPr>
                <w:rFonts w:ascii="Calibri" w:hAnsi="Calibri"/>
                <w:sz w:val="20"/>
              </w:rPr>
              <w:t>https://blog.videotext.io/what-is-transcript-qa</w:t>
            </w:r>
          </w:p>
        </w:tc>
        <w:tc>
          <w:tcPr>
            <w:tcW w:type="dxa" w:w="2016"/>
          </w:tcPr>
          <w:p>
            <w:pPr>
              <w:spacing w:after="60"/>
            </w:pPr>
            <w:r/>
            <w:r>
              <w:rPr>
                <w:rFonts w:ascii="Calibri" w:hAnsi="Calibri"/>
                <w:sz w:val="20"/>
              </w:rPr>
              <w:t>VideoText.io blog</w:t>
            </w:r>
          </w:p>
        </w:tc>
      </w:tr>
      <w:tr>
        <w:tc>
          <w:tcPr>
            <w:tcW w:type="dxa" w:w="2880"/>
          </w:tcPr>
          <w:p>
            <w:pPr>
              <w:spacing w:after="60"/>
            </w:pPr>
            <w:r/>
            <w:r>
              <w:rPr>
                <w:rFonts w:ascii="Calibri" w:hAnsi="Calibri"/>
                <w:sz w:val="20"/>
              </w:rPr>
              <w:t>Why Formatting Is Still the Most Annoying Part of Transcription</w:t>
            </w:r>
          </w:p>
        </w:tc>
        <w:tc>
          <w:tcPr>
            <w:tcW w:type="dxa" w:w="3744"/>
          </w:tcPr>
          <w:p>
            <w:pPr>
              <w:spacing w:after="60"/>
            </w:pPr>
            <w:r/>
            <w:r>
              <w:rPr>
                <w:rFonts w:ascii="Calibri" w:hAnsi="Calibri"/>
                <w:sz w:val="20"/>
              </w:rPr>
              <w:t>https://blog.videotext.io/why-formatting-is-the-most-annoying-part-of-transcription</w:t>
            </w:r>
          </w:p>
        </w:tc>
        <w:tc>
          <w:tcPr>
            <w:tcW w:type="dxa" w:w="2016"/>
          </w:tcPr>
          <w:p>
            <w:pPr>
              <w:spacing w:after="60"/>
            </w:pPr>
            <w:r/>
            <w:r>
              <w:rPr>
                <w:rFonts w:ascii="Calibri" w:hAnsi="Calibri"/>
                <w:sz w:val="20"/>
              </w:rPr>
              <w:t>VideoText.io blog</w:t>
            </w:r>
          </w:p>
        </w:tc>
      </w:tr>
      <w:tr>
        <w:tc>
          <w:tcPr>
            <w:tcW w:type="dxa" w:w="2880"/>
          </w:tcPr>
          <w:p>
            <w:pPr>
              <w:spacing w:after="60"/>
            </w:pPr>
            <w:r/>
            <w:r>
              <w:rPr>
                <w:rFonts w:ascii="Calibri" w:hAnsi="Calibri"/>
                <w:sz w:val="20"/>
              </w:rPr>
              <w:t>Why Most AI Transcription Tools Fail for Long-Form Content</w:t>
            </w:r>
          </w:p>
        </w:tc>
        <w:tc>
          <w:tcPr>
            <w:tcW w:type="dxa" w:w="3744"/>
          </w:tcPr>
          <w:p>
            <w:pPr>
              <w:spacing w:after="60"/>
            </w:pPr>
            <w:r/>
            <w:r>
              <w:rPr>
                <w:rFonts w:ascii="Calibri" w:hAnsi="Calibri"/>
                <w:sz w:val="20"/>
              </w:rPr>
              <w:t>https://blog.videotext.io/why-transcription-tools-fail</w:t>
            </w:r>
          </w:p>
        </w:tc>
        <w:tc>
          <w:tcPr>
            <w:tcW w:type="dxa" w:w="2016"/>
          </w:tcPr>
          <w:p>
            <w:pPr>
              <w:spacing w:after="60"/>
            </w:pPr>
            <w:r/>
            <w:r>
              <w:rPr>
                <w:rFonts w:ascii="Calibri" w:hAnsi="Calibri"/>
                <w:sz w:val="20"/>
              </w:rPr>
              <w:t>VideoText.io blog</w:t>
            </w:r>
          </w:p>
        </w:tc>
      </w:tr>
      <w:tr>
        <w:tc>
          <w:tcPr>
            <w:tcW w:type="dxa" w:w="2880"/>
          </w:tcPr>
          <w:p>
            <w:pPr>
              <w:spacing w:after="60"/>
            </w:pPr>
            <w:r/>
            <w:r>
              <w:rPr>
                <w:rFonts w:ascii="Calibri" w:hAnsi="Calibri"/>
                <w:sz w:val="20"/>
              </w:rPr>
              <w:t>Why Most AI Transcripts Fail QA</w:t>
            </w:r>
          </w:p>
        </w:tc>
        <w:tc>
          <w:tcPr>
            <w:tcW w:type="dxa" w:w="3744"/>
          </w:tcPr>
          <w:p>
            <w:pPr>
              <w:spacing w:after="60"/>
            </w:pPr>
            <w:r/>
            <w:r>
              <w:rPr>
                <w:rFonts w:ascii="Calibri" w:hAnsi="Calibri"/>
                <w:sz w:val="20"/>
              </w:rPr>
              <w:t>https://blog.videotext.io/why-ai-transcripts-fail-qa</w:t>
            </w:r>
          </w:p>
        </w:tc>
        <w:tc>
          <w:tcPr>
            <w:tcW w:type="dxa" w:w="2016"/>
          </w:tcPr>
          <w:p>
            <w:pPr>
              <w:spacing w:after="60"/>
            </w:pPr>
            <w:r/>
            <w:r>
              <w:rPr>
                <w:rFonts w:ascii="Calibri" w:hAnsi="Calibri"/>
                <w:sz w:val="20"/>
              </w:rPr>
              <w:t>VideoText.io blog</w:t>
            </w:r>
          </w:p>
        </w:tc>
      </w:tr>
      <w:tr>
        <w:tc>
          <w:tcPr>
            <w:tcW w:type="dxa" w:w="2880"/>
          </w:tcPr>
          <w:p>
            <w:pPr>
              <w:spacing w:after="60"/>
            </w:pPr>
            <w:r/>
            <w:r>
              <w:rPr>
                <w:rFonts w:ascii="Calibri" w:hAnsi="Calibri"/>
                <w:sz w:val="20"/>
              </w:rPr>
              <w:t>YouTube URL to transcript without downloading the video (fast + SEO-safe workflow)</w:t>
            </w:r>
          </w:p>
        </w:tc>
        <w:tc>
          <w:tcPr>
            <w:tcW w:type="dxa" w:w="3744"/>
          </w:tcPr>
          <w:p>
            <w:pPr>
              <w:spacing w:after="60"/>
            </w:pPr>
            <w:r/>
            <w:r>
              <w:rPr>
                <w:rFonts w:ascii="Calibri" w:hAnsi="Calibri"/>
                <w:sz w:val="20"/>
              </w:rPr>
              <w:t>https://blog.videotext.io/youtube-url-to-transcript-without-download</w:t>
            </w:r>
          </w:p>
        </w:tc>
        <w:tc>
          <w:tcPr>
            <w:tcW w:type="dxa" w:w="2016"/>
          </w:tcPr>
          <w:p>
            <w:pPr>
              <w:spacing w:after="60"/>
            </w:pPr>
            <w:r/>
            <w:r>
              <w:rPr>
                <w:rFonts w:ascii="Calibri" w:hAnsi="Calibri"/>
                <w:sz w:val="20"/>
              </w:rPr>
              <w:t>VideoText.io blog</w:t>
            </w:r>
          </w:p>
        </w:tc>
      </w:tr>
    </w:tbl>
    <w:p>
      <w:pPr>
        <w:spacing w:before="120"/>
      </w:pPr>
      <w:r>
        <w:rPr>
          <w:i/>
          <w:sz w:val="20"/>
        </w:rPr>
        <w:t>Auto-listed VideoText.io blog posts: 27. Additional lines from extra_public_writing_urls.txt: 0.</w:t>
      </w:r>
    </w:p>
    <w:p/>
    <w:p>
      <w:r>
        <w:rPr>
          <w:i/>
          <w:sz w:val="20"/>
        </w:rPr>
        <w:t>Prepared as a technical exhibit for immigration counsel. Attach the camera-ready ICCS PDF to the petition as the primary scholarly exhibit. Add redacted revenue, customer counts, or testimonials only as separate exhibits if counsel approves.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