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36"/>
        </w:rPr>
        <w:t>Technical Summary: ICCS 2026 Research and VideoText.io</w:t>
      </w:r>
    </w:p>
    <w:p>
      <w:pPr>
        <w:jc w:val="center"/>
      </w:pPr>
      <w:r>
        <w:rPr>
          <w:rFonts w:ascii="Calibri" w:hAnsi="Calibri"/>
          <w:i/>
          <w:sz w:val="24"/>
        </w:rPr>
        <w:t>O-1A Nonimmigrant Classification — Criterion 3: Original Contributions of Major Significance</w:t>
      </w:r>
    </w:p>
    <w:p>
      <w:pPr>
        <w:jc w:val="center"/>
      </w:pPr>
      <w:r>
        <w:rPr>
          <w:rFonts w:ascii="Calibri" w:hAnsi="Calibri"/>
          <w:sz w:val="20"/>
        </w:rPr>
        <w:t>Applicant: Santhosh Guntupalli  |  Product: VideoText.io  |  Memorandum type: Technical exhibit (research ↔ production)</w:t>
      </w:r>
    </w:p>
    <w:p/>
    <w:p>
      <w:pPr>
        <w:pStyle w:val="Heading2"/>
        <w:spacing w:before="200" w:after="120"/>
      </w:pPr>
      <w:r>
        <w:rPr>
          <w:rFonts w:ascii="Calibri" w:hAnsi="Calibri"/>
          <w:color w:val="000000"/>
        </w:rPr>
        <w:t>Publication and product</w:t>
      </w:r>
    </w:p>
    <w:p>
      <w:r>
        <w:rPr>
          <w:rFonts w:ascii="Calibri" w:hAnsi="Calibri" w:eastAsia="Calibri"/>
          <w:b/>
          <w:i w:val="0"/>
        </w:rPr>
        <w:t xml:space="preserve">Publication (camera-ready): </w:t>
      </w:r>
      <w:r>
        <w:rPr>
          <w:rFonts w:ascii="Calibri" w:hAnsi="Calibri" w:eastAsia="Calibri"/>
          <w:b w:val="0"/>
          <w:i/>
        </w:rPr>
        <w:t>Santhosh Guntupalli, Deterministic Execution Frameworks for Hybrid Symbolic–Probabilistic Computational Pipelines (ICCS 2026).</w:t>
      </w:r>
    </w:p>
    <w:p>
      <w:r>
        <w:rPr>
          <w:rFonts w:ascii="Calibri" w:hAnsi="Calibri" w:eastAsia="Calibri"/>
          <w:b/>
          <w:i w:val="0"/>
        </w:rPr>
        <w:t xml:space="preserve">Product: </w:t>
      </w:r>
      <w:r>
        <w:rPr>
          <w:rFonts w:ascii="Calibri" w:hAnsi="Calibri" w:eastAsia="Calibri"/>
          <w:b w:val="0"/>
          <w:i w:val="0"/>
        </w:rPr>
        <w:t>VideoText.io — production SaaS for video transcription, subtitles, translation, caption tooling, batch processing, and related professional media workflows.</w:t>
      </w:r>
    </w:p>
    <w:p>
      <w:pPr>
        <w:pStyle w:val="Heading2"/>
        <w:spacing w:before="200" w:after="120"/>
      </w:pPr>
      <w:r>
        <w:rPr>
          <w:rFonts w:ascii="Calibri" w:hAnsi="Calibri"/>
          <w:color w:val="000000"/>
        </w:rPr>
        <w:t>Third-party product presence</w:t>
      </w:r>
    </w:p>
    <w:p>
      <w:pPr>
        <w:spacing w:after="120"/>
      </w:pPr>
      <w:r>
        <w:t>The product is publicly listed or featured on the following independent channels (attach screenshots or stable URLs as exhibits to the petition).</w:t>
      </w:r>
    </w:p>
    <w:p>
      <w:pPr>
        <w:pStyle w:val="ListBullet"/>
      </w:pPr>
      <w:r>
        <w:rPr>
          <w:rFonts w:ascii="Calibri" w:hAnsi="Calibri" w:eastAsia="Calibri"/>
          <w:b/>
          <w:i w:val="0"/>
        </w:rPr>
        <w:t xml:space="preserve">IndieHunt. </w:t>
      </w:r>
      <w:r>
        <w:rPr>
          <w:rFonts w:ascii="Calibri" w:hAnsi="Calibri" w:eastAsia="Calibri"/>
          <w:b w:val="0"/>
          <w:i w:val="0"/>
        </w:rPr>
        <w:t>VideoText.io is featured on IndieHunt (independent product discovery).</w:t>
      </w:r>
    </w:p>
    <w:p>
      <w:pPr>
        <w:pStyle w:val="ListBullet"/>
      </w:pPr>
      <w:r>
        <w:rPr>
          <w:rFonts w:ascii="Calibri" w:hAnsi="Calibri" w:eastAsia="Calibri"/>
          <w:b/>
          <w:i w:val="0"/>
        </w:rPr>
        <w:t xml:space="preserve">Fazier. </w:t>
      </w:r>
      <w:r>
        <w:rPr>
          <w:rFonts w:ascii="Calibri" w:hAnsi="Calibri" w:eastAsia="Calibri"/>
          <w:b w:val="0"/>
          <w:i w:val="0"/>
        </w:rPr>
        <w:t>The product carries the Fazier badge and/or a published listing on the Fazier platform.</w:t>
      </w:r>
    </w:p>
    <w:p>
      <w:pPr>
        <w:pStyle w:val="ListBullet"/>
      </w:pPr>
      <w:r>
        <w:rPr>
          <w:rFonts w:ascii="Calibri" w:hAnsi="Calibri" w:eastAsia="Calibri"/>
          <w:b/>
          <w:i w:val="0"/>
        </w:rPr>
        <w:t xml:space="preserve">G2. </w:t>
      </w:r>
      <w:r>
        <w:rPr>
          <w:rFonts w:ascii="Calibri" w:hAnsi="Calibri" w:eastAsia="Calibri"/>
          <w:b w:val="0"/>
          <w:i w:val="0"/>
        </w:rPr>
        <w:t>A product profile is published on G2 (https://www.g2.com/) — business software reviews and comparison.</w:t>
      </w:r>
    </w:p>
    <w:p>
      <w:pPr>
        <w:pStyle w:val="ListBullet"/>
      </w:pPr>
      <w:r>
        <w:rPr>
          <w:rFonts w:ascii="Calibri" w:hAnsi="Calibri" w:eastAsia="Calibri"/>
          <w:b/>
          <w:i w:val="0"/>
        </w:rPr>
        <w:t xml:space="preserve">Capterra. </w:t>
      </w:r>
      <w:r>
        <w:rPr>
          <w:rFonts w:ascii="Calibri" w:hAnsi="Calibri" w:eastAsia="Calibri"/>
          <w:b w:val="0"/>
          <w:i w:val="0"/>
        </w:rPr>
        <w:t>A product profile is published on Capterra (https://www.capterra.com/) — software discovery and reviews.</w:t>
      </w:r>
    </w:p>
    <w:p>
      <w:pPr>
        <w:ind w:left="360"/>
      </w:pPr>
      <w:r>
        <w:rPr>
          <w:i/>
          <w:sz w:val="20"/>
        </w:rPr>
        <w:t>Immigration packet: include direct links to each listing and/or dated PDF screenshots as labeled exhibits (e.g., Exhibit C-3a through C-3d).</w:t>
      </w:r>
    </w:p>
    <w:p>
      <w:pPr>
        <w:pStyle w:val="Heading2"/>
        <w:spacing w:before="200" w:after="120"/>
      </w:pPr>
      <w:r>
        <w:rPr>
          <w:rFonts w:ascii="Calibri" w:hAnsi="Calibri"/>
          <w:color w:val="000000"/>
        </w:rPr>
        <w:t>Current production snapshot (field-level significance)</w:t>
      </w:r>
    </w:p>
    <w:p>
      <w:r>
        <w:t>The following figures are drawn directly from VideoText.io’s internal operations dashboard (sourced from the canonical Postgres business_users / business_jobs views described in the analytics-architecture section below) as of 2026-08-08. They are offered as direct evidence that the applicant’s engineering choices — deterministic, non-LLM stages for the core pipeline; explicit tier-aware orchestration; result caching — translate into fast, reliable, well-received service under real usage, not only theoretical design.</w:t>
      </w:r>
    </w:p>
    <w:tbl>
      <w:tblPr>
        <w:tblStyle w:val="TableGrid"/>
        <w:tblW w:type="auto" w:w="0"/>
        <w:jc w:val="center"/>
        <w:tblLook w:firstColumn="1" w:firstRow="1" w:lastColumn="0" w:lastRow="0" w:noHBand="0" w:noVBand="1" w:val="04A0"/>
      </w:tblPr>
      <w:tblGrid>
        <w:gridCol w:w="2880"/>
        <w:gridCol w:w="2880"/>
        <w:gridCol w:w="2880"/>
      </w:tblGrid>
      <w:tr>
        <w:tc>
          <w:tcPr>
            <w:tcW w:type="dxa" w:w="3312"/>
            <w:shd w:fill="D9D9D9"/>
          </w:tcPr>
          <w:p>
            <w:pPr>
              <w:jc w:val="center"/>
            </w:pPr>
            <w:r/>
            <w:r>
              <w:rPr>
                <w:rFonts w:ascii="Calibri" w:hAnsi="Calibri"/>
                <w:b/>
                <w:sz w:val="20"/>
              </w:rPr>
              <w:t>Metric</w:t>
            </w:r>
          </w:p>
        </w:tc>
        <w:tc>
          <w:tcPr>
            <w:tcW w:type="dxa" w:w="3312"/>
            <w:shd w:fill="D9D9D9"/>
          </w:tcPr>
          <w:p>
            <w:pPr>
              <w:jc w:val="center"/>
            </w:pPr>
            <w:r/>
            <w:r>
              <w:rPr>
                <w:rFonts w:ascii="Calibri" w:hAnsi="Calibri"/>
                <w:b/>
                <w:sz w:val="20"/>
              </w:rPr>
              <w:t>Value</w:t>
            </w:r>
          </w:p>
        </w:tc>
        <w:tc>
          <w:tcPr>
            <w:tcW w:type="dxa" w:w="2736"/>
            <w:shd w:fill="D9D9D9"/>
          </w:tcPr>
          <w:p>
            <w:pPr>
              <w:jc w:val="center"/>
            </w:pPr>
            <w:r/>
            <w:r>
              <w:rPr>
                <w:rFonts w:ascii="Calibri" w:hAnsi="Calibri"/>
                <w:b/>
                <w:sz w:val="20"/>
              </w:rPr>
              <w:t>Window</w:t>
            </w:r>
          </w:p>
        </w:tc>
      </w:tr>
      <w:tr>
        <w:tc>
          <w:tcPr>
            <w:tcW w:type="dxa" w:w="3312"/>
          </w:tcPr>
          <w:p>
            <w:pPr>
              <w:spacing w:after="60"/>
            </w:pPr>
            <w:r/>
            <w:r>
              <w:rPr>
                <w:rFonts w:ascii="Calibri" w:hAnsi="Calibri"/>
                <w:sz w:val="20"/>
              </w:rPr>
              <w:t>Registered users</w:t>
            </w:r>
          </w:p>
        </w:tc>
        <w:tc>
          <w:tcPr>
            <w:tcW w:type="dxa" w:w="3312"/>
          </w:tcPr>
          <w:p>
            <w:pPr>
              <w:spacing w:after="60"/>
            </w:pPr>
            <w:r/>
            <w:r>
              <w:rPr>
                <w:rFonts w:ascii="Calibri" w:hAnsi="Calibri"/>
                <w:sz w:val="20"/>
              </w:rPr>
              <w:t>489</w:t>
            </w:r>
          </w:p>
        </w:tc>
        <w:tc>
          <w:tcPr>
            <w:tcW w:type="dxa" w:w="2736"/>
          </w:tcPr>
          <w:p>
            <w:pPr>
              <w:spacing w:after="60"/>
            </w:pPr>
            <w:r/>
            <w:r>
              <w:rPr>
                <w:rFonts w:ascii="Calibri" w:hAnsi="Calibri"/>
                <w:sz w:val="20"/>
              </w:rPr>
              <w:t>cumulative, as of snapshot date</w:t>
            </w:r>
          </w:p>
        </w:tc>
      </w:tr>
      <w:tr>
        <w:tc>
          <w:tcPr>
            <w:tcW w:type="dxa" w:w="3312"/>
          </w:tcPr>
          <w:p>
            <w:pPr>
              <w:spacing w:after="60"/>
            </w:pPr>
            <w:r/>
            <w:r>
              <w:rPr>
                <w:rFonts w:ascii="Calibri" w:hAnsi="Calibri"/>
                <w:sz w:val="20"/>
              </w:rPr>
              <w:t>New signups</w:t>
            </w:r>
          </w:p>
        </w:tc>
        <w:tc>
          <w:tcPr>
            <w:tcW w:type="dxa" w:w="3312"/>
          </w:tcPr>
          <w:p>
            <w:pPr>
              <w:spacing w:after="60"/>
            </w:pPr>
            <w:r/>
            <w:r>
              <w:rPr>
                <w:rFonts w:ascii="Calibri" w:hAnsi="Calibri"/>
                <w:sz w:val="20"/>
              </w:rPr>
              <w:t>201 (+67% week-over-week)</w:t>
            </w:r>
          </w:p>
        </w:tc>
        <w:tc>
          <w:tcPr>
            <w:tcW w:type="dxa" w:w="2736"/>
          </w:tcPr>
          <w:p>
            <w:pPr>
              <w:spacing w:after="60"/>
            </w:pPr>
            <w:r/>
            <w:r>
              <w:rPr>
                <w:rFonts w:ascii="Calibri" w:hAnsi="Calibri"/>
                <w:sz w:val="20"/>
              </w:rPr>
              <w:t>trailing 30 days</w:t>
            </w:r>
          </w:p>
        </w:tc>
      </w:tr>
      <w:tr>
        <w:tc>
          <w:tcPr>
            <w:tcW w:type="dxa" w:w="3312"/>
          </w:tcPr>
          <w:p>
            <w:pPr>
              <w:spacing w:after="60"/>
            </w:pPr>
            <w:r/>
            <w:r>
              <w:rPr>
                <w:rFonts w:ascii="Calibri" w:hAnsi="Calibri"/>
                <w:sz w:val="20"/>
              </w:rPr>
              <w:t>Jobs completed across all tools</w:t>
            </w:r>
          </w:p>
        </w:tc>
        <w:tc>
          <w:tcPr>
            <w:tcW w:type="dxa" w:w="3312"/>
          </w:tcPr>
          <w:p>
            <w:pPr>
              <w:spacing w:after="60"/>
            </w:pPr>
            <w:r/>
            <w:r>
              <w:rPr>
                <w:rFonts w:ascii="Calibri" w:hAnsi="Calibri"/>
                <w:sz w:val="20"/>
              </w:rPr>
              <w:t>≈1,480</w:t>
            </w:r>
          </w:p>
        </w:tc>
        <w:tc>
          <w:tcPr>
            <w:tcW w:type="dxa" w:w="2736"/>
          </w:tcPr>
          <w:p>
            <w:pPr>
              <w:spacing w:after="60"/>
            </w:pPr>
            <w:r/>
            <w:r>
              <w:rPr>
                <w:rFonts w:ascii="Calibri" w:hAnsi="Calibri"/>
                <w:sz w:val="20"/>
              </w:rPr>
              <w:t>trailing 30 days</w:t>
            </w:r>
          </w:p>
        </w:tc>
      </w:tr>
      <w:tr>
        <w:tc>
          <w:tcPr>
            <w:tcW w:type="dxa" w:w="3312"/>
          </w:tcPr>
          <w:p>
            <w:pPr>
              <w:spacing w:after="60"/>
            </w:pPr>
            <w:r/>
            <w:r>
              <w:rPr>
                <w:rFonts w:ascii="Calibri" w:hAnsi="Calibri"/>
                <w:sz w:val="20"/>
              </w:rPr>
              <w:t>Average job processing time</w:t>
            </w:r>
          </w:p>
        </w:tc>
        <w:tc>
          <w:tcPr>
            <w:tcW w:type="dxa" w:w="3312"/>
          </w:tcPr>
          <w:p>
            <w:pPr>
              <w:spacing w:after="60"/>
            </w:pPr>
            <w:r/>
            <w:r>
              <w:rPr>
                <w:rFonts w:ascii="Calibri" w:hAnsi="Calibri"/>
                <w:sz w:val="20"/>
              </w:rPr>
              <w:t>24.5 s</w:t>
            </w:r>
          </w:p>
        </w:tc>
        <w:tc>
          <w:tcPr>
            <w:tcW w:type="dxa" w:w="2736"/>
          </w:tcPr>
          <w:p>
            <w:pPr>
              <w:spacing w:after="60"/>
            </w:pPr>
            <w:r/>
            <w:r>
              <w:rPr>
                <w:rFonts w:ascii="Calibri" w:hAnsi="Calibri"/>
                <w:sz w:val="20"/>
              </w:rPr>
              <w:t>trailing 30 days, completed jobs</w:t>
            </w:r>
          </w:p>
        </w:tc>
      </w:tr>
      <w:tr>
        <w:tc>
          <w:tcPr>
            <w:tcW w:type="dxa" w:w="3312"/>
          </w:tcPr>
          <w:p>
            <w:pPr>
              <w:spacing w:after="60"/>
            </w:pPr>
            <w:r/>
            <w:r>
              <w:rPr>
                <w:rFonts w:ascii="Calibri" w:hAnsi="Calibri"/>
                <w:sz w:val="20"/>
              </w:rPr>
              <w:t>P95 job processing time</w:t>
            </w:r>
          </w:p>
        </w:tc>
        <w:tc>
          <w:tcPr>
            <w:tcW w:type="dxa" w:w="3312"/>
          </w:tcPr>
          <w:p>
            <w:pPr>
              <w:spacing w:after="60"/>
            </w:pPr>
            <w:r/>
            <w:r>
              <w:rPr>
                <w:rFonts w:ascii="Calibri" w:hAnsi="Calibri"/>
                <w:sz w:val="20"/>
              </w:rPr>
              <w:t>116.5 s</w:t>
            </w:r>
          </w:p>
        </w:tc>
        <w:tc>
          <w:tcPr>
            <w:tcW w:type="dxa" w:w="2736"/>
          </w:tcPr>
          <w:p>
            <w:pPr>
              <w:spacing w:after="60"/>
            </w:pPr>
            <w:r/>
            <w:r>
              <w:rPr>
                <w:rFonts w:ascii="Calibri" w:hAnsi="Calibri"/>
                <w:sz w:val="20"/>
              </w:rPr>
              <w:t>trailing 30 days, completed jobs</w:t>
            </w:r>
          </w:p>
        </w:tc>
      </w:tr>
      <w:tr>
        <w:tc>
          <w:tcPr>
            <w:tcW w:type="dxa" w:w="3312"/>
          </w:tcPr>
          <w:p>
            <w:pPr>
              <w:spacing w:after="60"/>
            </w:pPr>
            <w:r/>
            <w:r>
              <w:rPr>
                <w:rFonts w:ascii="Calibri" w:hAnsi="Calibri"/>
                <w:sz w:val="20"/>
              </w:rPr>
              <w:t>Job failure rate</w:t>
            </w:r>
          </w:p>
        </w:tc>
        <w:tc>
          <w:tcPr>
            <w:tcW w:type="dxa" w:w="3312"/>
          </w:tcPr>
          <w:p>
            <w:pPr>
              <w:spacing w:after="60"/>
            </w:pPr>
            <w:r/>
            <w:r>
              <w:rPr>
                <w:rFonts w:ascii="Calibri" w:hAnsi="Calibri"/>
                <w:sz w:val="20"/>
              </w:rPr>
              <w:t>5.1%</w:t>
            </w:r>
          </w:p>
        </w:tc>
        <w:tc>
          <w:tcPr>
            <w:tcW w:type="dxa" w:w="2736"/>
          </w:tcPr>
          <w:p>
            <w:pPr>
              <w:spacing w:after="60"/>
            </w:pPr>
            <w:r/>
            <w:r>
              <w:rPr>
                <w:rFonts w:ascii="Calibri" w:hAnsi="Calibri"/>
                <w:sz w:val="20"/>
              </w:rPr>
              <w:t>trailing 30 days</w:t>
            </w:r>
          </w:p>
        </w:tc>
      </w:tr>
      <w:tr>
        <w:tc>
          <w:tcPr>
            <w:tcW w:type="dxa" w:w="3312"/>
          </w:tcPr>
          <w:p>
            <w:pPr>
              <w:spacing w:after="60"/>
            </w:pPr>
            <w:r/>
            <w:r>
              <w:rPr>
                <w:rFonts w:ascii="Calibri" w:hAnsi="Calibri"/>
                <w:sz w:val="20"/>
              </w:rPr>
              <w:t>Average customer rating</w:t>
            </w:r>
          </w:p>
        </w:tc>
        <w:tc>
          <w:tcPr>
            <w:tcW w:type="dxa" w:w="3312"/>
          </w:tcPr>
          <w:p>
            <w:pPr>
              <w:spacing w:after="60"/>
            </w:pPr>
            <w:r/>
            <w:r>
              <w:rPr>
                <w:rFonts w:ascii="Calibri" w:hAnsi="Calibri"/>
                <w:sz w:val="20"/>
              </w:rPr>
              <w:t>4.6 / 5 (38 ratings)</w:t>
            </w:r>
          </w:p>
        </w:tc>
        <w:tc>
          <w:tcPr>
            <w:tcW w:type="dxa" w:w="2736"/>
          </w:tcPr>
          <w:p>
            <w:pPr>
              <w:spacing w:after="60"/>
            </w:pPr>
            <w:r/>
            <w:r>
              <w:rPr>
                <w:rFonts w:ascii="Calibri" w:hAnsi="Calibri"/>
                <w:sz w:val="20"/>
              </w:rPr>
              <w:t>cumulative</w:t>
            </w:r>
          </w:p>
        </w:tc>
      </w:tr>
      <w:tr>
        <w:tc>
          <w:tcPr>
            <w:tcW w:type="dxa" w:w="3312"/>
          </w:tcPr>
          <w:p>
            <w:pPr>
              <w:spacing w:after="60"/>
            </w:pPr>
            <w:r/>
            <w:r>
              <w:rPr>
                <w:rFonts w:ascii="Calibri" w:hAnsi="Calibri"/>
                <w:sz w:val="20"/>
              </w:rPr>
              <w:t>Top tool by volume</w:t>
            </w:r>
          </w:p>
        </w:tc>
        <w:tc>
          <w:tcPr>
            <w:tcW w:type="dxa" w:w="3312"/>
          </w:tcPr>
          <w:p>
            <w:pPr>
              <w:spacing w:after="60"/>
            </w:pPr>
            <w:r/>
            <w:r>
              <w:rPr>
                <w:rFonts w:ascii="Calibri" w:hAnsi="Calibri"/>
                <w:sz w:val="20"/>
              </w:rPr>
              <w:t>Video → Subtitles (153 jobs)</w:t>
            </w:r>
          </w:p>
        </w:tc>
        <w:tc>
          <w:tcPr>
            <w:tcW w:type="dxa" w:w="2736"/>
          </w:tcPr>
          <w:p>
            <w:pPr>
              <w:spacing w:after="60"/>
            </w:pPr>
            <w:r/>
            <w:r>
              <w:rPr>
                <w:rFonts w:ascii="Calibri" w:hAnsi="Calibri"/>
                <w:sz w:val="20"/>
              </w:rPr>
              <w:t>trailing 30 days</w:t>
            </w:r>
          </w:p>
        </w:tc>
      </w:tr>
    </w:tbl>
    <w:p>
      <w:pPr>
        <w:spacing w:before="120"/>
      </w:pPr>
      <w:r>
        <w:rPr>
          <w:i/>
          <w:sz w:val="20"/>
        </w:rPr>
        <w:t>These are operational and product-quality metrics (throughput, reliability, customer satisfaction, and growth), not revenue or subscriber-count figures — counsel may attach a dated screenshot of this dashboard view as a labeled exhibit, and should refresh the figures immediately before filing since they change daily.</w:t>
      </w:r>
    </w:p>
    <w:p>
      <w:pPr>
        <w:pStyle w:val="Heading1"/>
        <w:spacing w:before="240" w:after="120"/>
      </w:pPr>
      <w:r>
        <w:rPr>
          <w:rFonts w:ascii="Calibri" w:hAnsi="Calibri"/>
          <w:color w:val="000000"/>
        </w:rPr>
        <w:t>Executive summary</w:t>
      </w:r>
    </w:p>
    <w:p>
      <w:r>
        <w:t>The ICCS paper contributes a computational framework for hybrid pipelines: a deterministic execution layer (normalized input, ordered logic, versioned configuration) that owns all state transitions and primary outputs, while stochastic models are confined to non-authoritative post-hoc layers that cannot alter deterministic findings. The paper validates this design with 100% execution determinism and 100% traceability on a structured-text corpus, contrasted with 0% determinism for pure LLM and schema-constrained LLM baselines, and reports verifiable execution traces, O(n) rule scaling, and explicit security boundaries (for example, prompt injection treated as data in the symbolic core).</w:t>
      </w:r>
    </w:p>
    <w:p>
      <w:r>
        <w:t>VideoText.io is a commercial deployment of the same architectural discipline in a different domain (professional video and timed text). The product’s backbone is an explicit upload → validate → queue → worker → download pipeline with tier-aware orchestration. Deterministic, non-LLM stages (FFmpeg-based media transforms, deterministic transcript normalization, structured exports keyed off fixed segments, deterministic cache keys) bound the repeatable, customer-facing artifacts. Optional LLM features (for example, transcript summary, chapter titling from timestamped segments) are computed only after the primary timed transcript exists and are stored and delivered as separate fields, so they do not redefine the core subtitle or transcript payload that customers treat as authoritative for editing, compliance-style review, or downstream automation. Purely rule-based product logic (for example, in-app guidance triggers) is implemented without AI, mirroring the paper’s emphasis on traceable, reproducible decision paths where human operators expect stability. On raw throughput, the same production pipeline processes long-form video at roughly 47× realtime on a representative nearly-two-hour file — a reproducible, code-instrumented benchmark (server-side timing logs, not a marketing estimate) that is competitive with or faster than single-node commercial transcription throughput reported elsewhere in the industry, evidence that the deterministic engineering discipline below did not come at the cost of production performance.</w:t>
      </w:r>
    </w:p>
    <w:p>
      <w:r>
        <w:t>The applicant has independently applied the same discipline — a single deterministic source of truth, explicit boundaries around any judgment-dependent or probabilistic layer, and continuous automated reconciliation rather than one-time manual audit — to a second, unrelated system: VideoText.io’s internal business-analytics platform. That program defines a canonical, governed metric layer (one definition, one source, one code path per KPI), separates a deterministic system of record (Postgres/Stripe) from a probabilistic, explicitly-labeled layer (browser-based session analytics), and requires every reconciliation check to pass with zero unexplained discrepancies before a metric is allowed to go live. This is not the same artifact as the ICCS paper, but it is the same underlying engineering judgment restated in a second domain — evidence of a repeatable methodology rather than a single result.</w:t>
      </w:r>
    </w:p>
    <w:p>
      <w:r>
        <w:t>Neural automatic speech recognition (Whisper-class models) is not the paper’s symbolic rule engine; spoken audio lacks a closed finite pattern inventory like templated contracts. The accurate linkage for immigration purposes is therefore not that “the SaaS re-runs the contract engine,” but rather: (i) the applicant’s peer-reviewed framework establishes execution-invariance and auditability as first-class engineering constraints for LLM-containing systems; (ii) VideoText.io applies those constraints where production reality allows (deterministic media and text processing, explicit pipeline ordering, non-mutating generative add-ons, reproducible caching); (iii) paying customers demonstrate field-level significance that purely academic artifacts cannot, by showing the same researcher ships defensible hybrid AI systems under real latency, privacy, billing, and support obligations.</w:t>
      </w:r>
    </w:p>
    <w:p>
      <w:pPr>
        <w:pStyle w:val="Heading1"/>
        <w:spacing w:before="240" w:after="120"/>
      </w:pPr>
      <w:r>
        <w:rPr>
          <w:rFonts w:ascii="Calibri" w:hAnsi="Calibri"/>
          <w:color w:val="000000"/>
        </w:rPr>
        <w:t>Technical mapping: paper concept → VideoText.io implementation</w:t>
      </w:r>
    </w:p>
    <w:tbl>
      <w:tblPr>
        <w:tblStyle w:val="TableGrid"/>
        <w:tblW w:type="auto" w:w="0"/>
        <w:jc w:val="center"/>
        <w:tblLook w:firstColumn="1" w:firstRow="1" w:lastColumn="0" w:lastRow="0" w:noHBand="0" w:noVBand="1" w:val="04A0"/>
      </w:tblPr>
      <w:tblGrid>
        <w:gridCol w:w="2880"/>
        <w:gridCol w:w="2880"/>
        <w:gridCol w:w="2880"/>
      </w:tblGrid>
      <w:tr>
        <w:tc>
          <w:tcPr>
            <w:tcW w:type="dxa" w:w="1944"/>
            <w:shd w:fill="D9D9D9"/>
          </w:tcPr>
          <w:p>
            <w:pPr>
              <w:jc w:val="center"/>
            </w:pPr>
            <w:r/>
            <w:r>
              <w:rPr>
                <w:rFonts w:ascii="Calibri" w:hAnsi="Calibri"/>
                <w:b/>
                <w:sz w:val="20"/>
              </w:rPr>
              <w:t>Paper concept</w:t>
            </w:r>
          </w:p>
        </w:tc>
        <w:tc>
          <w:tcPr>
            <w:tcW w:type="dxa" w:w="2664"/>
            <w:shd w:fill="D9D9D9"/>
          </w:tcPr>
          <w:p>
            <w:pPr>
              <w:jc w:val="center"/>
            </w:pPr>
            <w:r/>
            <w:r>
              <w:rPr>
                <w:rFonts w:ascii="Calibri" w:hAnsi="Calibri"/>
                <w:b/>
                <w:sz w:val="20"/>
              </w:rPr>
              <w:t>Role in the framework</w:t>
            </w:r>
          </w:p>
        </w:tc>
        <w:tc>
          <w:tcPr>
            <w:tcW w:type="dxa" w:w="4320"/>
            <w:shd w:fill="D9D9D9"/>
          </w:tcPr>
          <w:p>
            <w:pPr>
              <w:jc w:val="center"/>
            </w:pPr>
            <w:r/>
            <w:r>
              <w:rPr>
                <w:rFonts w:ascii="Calibri" w:hAnsi="Calibri"/>
                <w:b/>
                <w:sz w:val="20"/>
              </w:rPr>
              <w:t>VideoText.io analogue (production)</w:t>
            </w:r>
          </w:p>
        </w:tc>
      </w:tr>
      <w:tr>
        <w:tc>
          <w:tcPr>
            <w:tcW w:type="dxa" w:w="1944"/>
          </w:tcPr>
          <w:p>
            <w:pPr>
              <w:spacing w:after="60"/>
            </w:pPr>
            <w:r/>
            <w:r>
              <w:rPr>
                <w:rFonts w:ascii="Calibri" w:hAnsi="Calibri"/>
                <w:sz w:val="20"/>
              </w:rPr>
              <w:t>Deterministic execution boundary</w:t>
            </w:r>
          </w:p>
        </w:tc>
        <w:tc>
          <w:tcPr>
            <w:tcW w:type="dxa" w:w="2664"/>
          </w:tcPr>
          <w:p>
            <w:pPr>
              <w:spacing w:after="60"/>
            </w:pPr>
            <w:r/>
            <w:r>
              <w:rPr>
                <w:rFonts w:ascii="Calibri" w:hAnsi="Calibri"/>
                <w:sz w:val="20"/>
              </w:rPr>
              <w:t>All authoritative state transitions and structured outputs live inside a verifiable layer.</w:t>
            </w:r>
          </w:p>
        </w:tc>
        <w:tc>
          <w:tcPr>
            <w:tcW w:type="dxa" w:w="4320"/>
          </w:tcPr>
          <w:p>
            <w:pPr>
              <w:spacing w:after="60"/>
            </w:pPr>
            <w:r/>
            <w:r>
              <w:rPr>
                <w:rFonts w:ascii="Calibri" w:hAnsi="Calibri"/>
                <w:sz w:val="20"/>
              </w:rPr>
              <w:t>FFmpeg pipelines (extract, merge, burn, compress); deterministic transcript post-processing (transcriptFormatter — no LLM); structured exports built from fixed segment lists.</w:t>
            </w:r>
          </w:p>
        </w:tc>
      </w:tr>
      <w:tr>
        <w:tc>
          <w:tcPr>
            <w:tcW w:type="dxa" w:w="1944"/>
          </w:tcPr>
          <w:p>
            <w:pPr>
              <w:spacing w:after="60"/>
            </w:pPr>
            <w:r/>
            <w:r>
              <w:rPr>
                <w:rFonts w:ascii="Calibri" w:hAnsi="Calibri"/>
                <w:sz w:val="20"/>
              </w:rPr>
              <w:t>Formal execution identity S = (D, R, θ, σ)</w:t>
            </w:r>
          </w:p>
        </w:tc>
        <w:tc>
          <w:tcPr>
            <w:tcW w:type="dxa" w:w="2664"/>
          </w:tcPr>
          <w:p>
            <w:pPr>
              <w:spacing w:after="60"/>
            </w:pPr>
            <w:r/>
            <w:r>
              <w:rPr>
                <w:rFonts w:ascii="Calibri" w:hAnsi="Calibri"/>
                <w:sz w:val="20"/>
              </w:rPr>
              <w:t>Identical execution state implies identical deterministic outputs.</w:t>
            </w:r>
          </w:p>
        </w:tc>
        <w:tc>
          <w:tcPr>
            <w:tcW w:type="dxa" w:w="4320"/>
          </w:tcPr>
          <w:p>
            <w:pPr>
              <w:spacing w:after="60"/>
            </w:pPr>
            <w:r/>
            <w:r>
              <w:rPr>
                <w:rFonts w:ascii="Calibri" w:hAnsi="Calibri"/>
                <w:sz w:val="20"/>
              </w:rPr>
              <w:t>Result cache keyed by user + content hash + tool type + sorted options (computeOptionsHash), so repeat jobs with identical inputs resolve to the same cached artifact when caching is enabled.</w:t>
            </w:r>
          </w:p>
        </w:tc>
      </w:tr>
      <w:tr>
        <w:tc>
          <w:tcPr>
            <w:tcW w:type="dxa" w:w="1944"/>
          </w:tcPr>
          <w:p>
            <w:pPr>
              <w:spacing w:after="60"/>
            </w:pPr>
            <w:r/>
            <w:r>
              <w:rPr>
                <w:rFonts w:ascii="Calibri" w:hAnsi="Calibri"/>
                <w:sz w:val="20"/>
              </w:rPr>
              <w:t>Stochastic layer as post-hoc explainer</w:t>
            </w:r>
          </w:p>
        </w:tc>
        <w:tc>
          <w:tcPr>
            <w:tcW w:type="dxa" w:w="2664"/>
          </w:tcPr>
          <w:p>
            <w:pPr>
              <w:spacing w:after="60"/>
            </w:pPr>
            <w:r/>
            <w:r>
              <w:rPr>
                <w:rFonts w:ascii="Calibri" w:hAnsi="Calibri"/>
                <w:sz w:val="20"/>
              </w:rPr>
              <w:t>The LLM cannot introduce or change deterministic classifications.</w:t>
            </w:r>
          </w:p>
        </w:tc>
        <w:tc>
          <w:tcPr>
            <w:tcW w:type="dxa" w:w="4320"/>
          </w:tcPr>
          <w:p>
            <w:pPr>
              <w:spacing w:after="60"/>
            </w:pPr>
            <w:r/>
            <w:r>
              <w:rPr>
                <w:rFonts w:ascii="Calibri" w:hAnsi="Calibri"/>
                <w:sz w:val="20"/>
              </w:rPr>
              <w:t>Transcript text and segments are materialized first; optional summary and chapters run afterward and attach as separate metadata (including deferred summary when Redis is available so the primary download path stays transcript-first). Chapter generation is constrained to timestamps present in deterministic segment input.</w:t>
            </w:r>
          </w:p>
        </w:tc>
      </w:tr>
      <w:tr>
        <w:tc>
          <w:tcPr>
            <w:tcW w:type="dxa" w:w="1944"/>
          </w:tcPr>
          <w:p>
            <w:pPr>
              <w:spacing w:after="60"/>
            </w:pPr>
            <w:r/>
            <w:r>
              <w:rPr>
                <w:rFonts w:ascii="Calibri" w:hAnsi="Calibri"/>
                <w:sz w:val="20"/>
              </w:rPr>
              <w:t>Traceability / auditability</w:t>
            </w:r>
          </w:p>
        </w:tc>
        <w:tc>
          <w:tcPr>
            <w:tcW w:type="dxa" w:w="2664"/>
          </w:tcPr>
          <w:p>
            <w:pPr>
              <w:spacing w:after="60"/>
            </w:pPr>
            <w:r/>
            <w:r>
              <w:rPr>
                <w:rFonts w:ascii="Calibri" w:hAnsi="Calibri"/>
                <w:sz w:val="20"/>
              </w:rPr>
              <w:t>Every decision is attributable to logic and input spans.</w:t>
            </w:r>
          </w:p>
        </w:tc>
        <w:tc>
          <w:tcPr>
            <w:tcW w:type="dxa" w:w="4320"/>
          </w:tcPr>
          <w:p>
            <w:pPr>
              <w:spacing w:after="60"/>
            </w:pPr>
            <w:r/>
            <w:r>
              <w:rPr>
                <w:rFonts w:ascii="Calibri" w:hAnsi="Calibri"/>
                <w:sz w:val="20"/>
              </w:rPr>
              <w:t>Timestamped segments, JSON exports, job and request identifiers, operational logging — suitable for professional workflows that require accountability of outputs.</w:t>
            </w:r>
          </w:p>
        </w:tc>
      </w:tr>
      <w:tr>
        <w:tc>
          <w:tcPr>
            <w:tcW w:type="dxa" w:w="1944"/>
          </w:tcPr>
          <w:p>
            <w:pPr>
              <w:spacing w:after="60"/>
            </w:pPr>
            <w:r/>
            <w:r>
              <w:rPr>
                <w:rFonts w:ascii="Calibri" w:hAnsi="Calibri"/>
                <w:sz w:val="20"/>
              </w:rPr>
              <w:t>Rule-based deterministic control</w:t>
            </w:r>
          </w:p>
        </w:tc>
        <w:tc>
          <w:tcPr>
            <w:tcW w:type="dxa" w:w="2664"/>
          </w:tcPr>
          <w:p>
            <w:pPr>
              <w:spacing w:after="60"/>
            </w:pPr>
            <w:r/>
            <w:r>
              <w:rPr>
                <w:rFonts w:ascii="Calibri" w:hAnsi="Calibri"/>
                <w:sz w:val="20"/>
              </w:rPr>
              <w:t>Pattern logic without stochastic decoding.</w:t>
            </w:r>
          </w:p>
        </w:tc>
        <w:tc>
          <w:tcPr>
            <w:tcW w:type="dxa" w:w="4320"/>
          </w:tcPr>
          <w:p>
            <w:pPr>
              <w:spacing w:after="60"/>
            </w:pPr>
            <w:r/>
            <w:r>
              <w:rPr>
                <w:rFonts w:ascii="Calibri" w:hAnsi="Calibri"/>
                <w:sz w:val="20"/>
              </w:rPr>
              <w:t>Rule-based, deterministic in-app triggers (for example, Tex workflow suggestions: no model inference).</w:t>
            </w:r>
          </w:p>
        </w:tc>
      </w:tr>
      <w:tr>
        <w:tc>
          <w:tcPr>
            <w:tcW w:type="dxa" w:w="1944"/>
          </w:tcPr>
          <w:p>
            <w:pPr>
              <w:spacing w:after="60"/>
            </w:pPr>
            <w:r/>
            <w:r>
              <w:rPr>
                <w:rFonts w:ascii="Calibri" w:hAnsi="Calibri"/>
                <w:sz w:val="20"/>
              </w:rPr>
              <w:t>Domain note in paper</w:t>
            </w:r>
          </w:p>
        </w:tc>
        <w:tc>
          <w:tcPr>
            <w:tcW w:type="dxa" w:w="2664"/>
          </w:tcPr>
          <w:p>
            <w:pPr>
              <w:spacing w:after="60"/>
            </w:pPr>
            <w:r/>
            <w:r>
              <w:rPr>
                <w:rFonts w:ascii="Calibri" w:hAnsi="Calibri"/>
                <w:sz w:val="20"/>
              </w:rPr>
              <w:t>The framework is described as domain-agnostic; the contract study is evaluation, not the only application.</w:t>
            </w:r>
          </w:p>
        </w:tc>
        <w:tc>
          <w:tcPr>
            <w:tcW w:type="dxa" w:w="4320"/>
          </w:tcPr>
          <w:p>
            <w:pPr>
              <w:spacing w:after="60"/>
            </w:pPr>
            <w:r/>
            <w:r>
              <w:rPr>
                <w:rFonts w:ascii="Calibri" w:hAnsi="Calibri"/>
                <w:sz w:val="20"/>
              </w:rPr>
              <w:t>VideoText extends the engineering pattern to media and timed-text pipelines, where reproducibility applies to encoding, formatting, exports, and orchestration, while ASR remains a known stochastic component bounded by the pipeline contract above.</w:t>
            </w:r>
          </w:p>
        </w:tc>
      </w:tr>
    </w:tbl>
    <w:p>
      <w:pPr>
        <w:pStyle w:val="Heading1"/>
        <w:spacing w:before="240" w:after="120"/>
      </w:pPr>
      <w:r>
        <w:rPr>
          <w:rFonts w:ascii="Calibri" w:hAnsi="Calibri"/>
          <w:color w:val="000000"/>
        </w:rPr>
        <w:t>A second, independent application of the same engineering discipline</w:t>
      </w:r>
    </w:p>
    <w:p>
      <w:r>
        <w:t>Criterion 3 is strengthened when the same original methodology recurs in an independent setting, because that shows a transferable engineering judgment rather than a single publication-shaped result. VideoText.io provides that recurrence internally: separate from the media-processing pipeline mapped above, the applicant designed and is deploying a canonical business-analytics architecture governing how every product and revenue metric is defined, computed, and served.</w:t>
      </w:r>
    </w:p>
    <w:p>
      <w:r>
        <w:rPr>
          <w:rFonts w:ascii="Calibri" w:hAnsi="Calibri" w:eastAsia="Calibri"/>
          <w:b/>
          <w:i w:val="0"/>
        </w:rPr>
        <w:t xml:space="preserve">Same core pattern, different domain. </w:t>
      </w:r>
      <w:r>
        <w:rPr>
          <w:rFonts w:ascii="Calibri" w:hAnsi="Calibri" w:eastAsia="Calibri"/>
          <w:b w:val="0"/>
          <w:i w:val="0"/>
        </w:rPr>
        <w:t>The analytics architecture separates a single deterministic system of record (Postgres for identity and product usage, Stripe for money) from a probabilistic, explicitly-labeled layer (browser-based session analytics), and requires every metric to resolve to exactly one canonical definition, one source, and one code path — the same structural move as the paper’s separation of a deterministic execution boundary from a non-authoritative stochastic layer.</w:t>
      </w:r>
    </w:p>
    <w:p>
      <w:r>
        <w:rPr>
          <w:rFonts w:ascii="Calibri" w:hAnsi="Calibri" w:eastAsia="Calibri"/>
          <w:b/>
          <w:i w:val="0"/>
        </w:rPr>
        <w:t xml:space="preserve">Independently measured, not just designed. </w:t>
      </w:r>
      <w:r>
        <w:rPr>
          <w:rFonts w:ascii="Calibri" w:hAnsi="Calibri" w:eastAsia="Calibri"/>
          <w:b w:val="0"/>
          <w:i w:val="0"/>
        </w:rPr>
        <w:t>The canonical layer was validated field-by-field against the raw system of record before any dashboard was allowed to read from it, with every reconciled field passing with zero unexplained discrepancies — an empirical traceability check in the same spirit as the paper’s measured 100% traceability result, applied here to a live commercial system rather than a benchmark corpus.</w:t>
      </w:r>
    </w:p>
    <w:p>
      <w:r>
        <w:rPr>
          <w:rFonts w:ascii="Calibri" w:hAnsi="Calibri" w:eastAsia="Calibri"/>
          <w:b/>
          <w:i w:val="0"/>
        </w:rPr>
        <w:t xml:space="preserve">Governed, not one-time. </w:t>
      </w:r>
      <w:r>
        <w:rPr>
          <w:rFonts w:ascii="Calibri" w:hAnsi="Calibri" w:eastAsia="Calibri"/>
          <w:b w:val="0"/>
          <w:i w:val="0"/>
        </w:rPr>
        <w:t>New metrics require a documented definition, a declared source, an owner, and an automated validation rule before they ship, and any metric that depends on judgment (for example, model-derived lifetime value or cost-allocation-dependent margin) is explicitly labeled at reduced confidence rather than presented with false precision — the same intellectual honesty about the boundary of deterministic guarantees that the paper itself insists on.</w:t>
      </w:r>
    </w:p>
    <w:p>
      <w:r>
        <w:t>For adjudication purposes, this second application is offered as corroborating evidence of originality and consistent engineering judgment, not as a second scholarly contribution. It shows the applicant applying the peer-reviewed framework’s central idea — a governed deterministic core with clearly bounded, non-authoritative probabilistic layers — a second time, on a different system, at his own initiative, in production.</w:t>
      </w:r>
    </w:p>
    <w:p>
      <w:pPr>
        <w:pStyle w:val="Heading1"/>
        <w:spacing w:before="240" w:after="120"/>
      </w:pPr>
      <w:r>
        <w:rPr>
          <w:rFonts w:ascii="Calibri" w:hAnsi="Calibri"/>
          <w:color w:val="000000"/>
        </w:rPr>
        <w:t>Why this supports “major significance” under Criterion 3</w:t>
      </w:r>
    </w:p>
    <w:p>
      <w:r>
        <w:rPr>
          <w:b/>
        </w:rPr>
        <w:t xml:space="preserve">1. Originality (research). </w:t>
      </w:r>
      <w:r>
        <w:t>The ICCS work is not a prompt tweak; it is a reproducibility-first execution model with empirical measurement of determinism, traceability, variance, and cost, including negative results for “structured output” LLM baselines that still fail execution invariance.</w:t>
      </w:r>
    </w:p>
    <w:p>
      <w:r>
        <w:rPr>
          <w:b/>
        </w:rPr>
        <w:t xml:space="preserve">2. Significance (industry). </w:t>
      </w:r>
      <w:r>
        <w:t>VideoText.io converts that research mindset into shipping software with subscriptions and usage metering, proving the applicant can operationalize hybrid AI systems beyond a lab benchmark — a relatively rare combination in O-1A filings that often show either publications or a product, not a coherent bridge between the two. That the applicant then independently re-applied the same governed-determinism methodology to a second, unrelated system (the analytics architecture described above) — reaching a measured zero-unexplained-discrepancy reconciliation result without being asked to — indicates a repeatable engineering judgment rather than a one-off result, and the production pipeline’s own throughput (approximately 47× realtime on long-form video, measured, not estimated) shows the discipline was applied without sacrificing commercial performance. Independent distribution and review channels reinforce field recognition: the product is featured on IndieHunt, carries a Fazier badge or listing, and is published on G2 and Capterra, which are widely used by buyers to evaluate software — evidence that the contribution sits in the commercial marketplace, not only in a private deployment.</w:t>
      </w:r>
    </w:p>
    <w:p>
      <w:r>
        <w:rPr>
          <w:b/>
        </w:rPr>
        <w:t xml:space="preserve">3. Integrity for adjudication. </w:t>
      </w:r>
      <w:r>
        <w:t>The strongest argument is architectural and professional continuity (deterministic cores where feasible, explicit boundaries for generative layers, traceable artifacts, production hardening), plus the paper’s quantitative guarantees in its evaluated domain. Claiming VideoText reproduces the paper’s 100% determinism for speech transcription would be inaccurate and should not be asserted; the accurate claim is controlled hybrid design and commercial proof of impact grounded in the same research-led engineering philosophy.</w:t>
      </w:r>
    </w:p>
    <w:p>
      <w:pPr>
        <w:pStyle w:val="Heading1"/>
        <w:spacing w:before="240" w:after="120"/>
      </w:pPr>
      <w:r>
        <w:rPr>
          <w:rFonts w:ascii="Calibri" w:hAnsi="Calibri"/>
          <w:color w:val="000000"/>
        </w:rPr>
        <w:t>Third-party recognition — exhibit checklist</w:t>
      </w:r>
    </w:p>
    <w:p>
      <w:r>
        <w:t>Use the following table when assembling Criterion 3 evidence; keep URLs current on the exhibit cover sheet.</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fill="D9D9D9"/>
          </w:tcPr>
          <w:p>
            <w:pPr>
              <w:jc w:val="center"/>
            </w:pPr>
            <w:r/>
            <w:r>
              <w:rPr>
                <w:rFonts w:ascii="Calibri" w:hAnsi="Calibri"/>
                <w:b/>
                <w:sz w:val="20"/>
              </w:rPr>
              <w:t>Channel</w:t>
            </w:r>
          </w:p>
        </w:tc>
        <w:tc>
          <w:tcPr>
            <w:tcW w:type="dxa" w:w="3168"/>
            <w:shd w:fill="D9D9D9"/>
          </w:tcPr>
          <w:p>
            <w:pPr>
              <w:jc w:val="center"/>
            </w:pPr>
            <w:r/>
            <w:r>
              <w:rPr>
                <w:rFonts w:ascii="Calibri" w:hAnsi="Calibri"/>
                <w:b/>
                <w:sz w:val="20"/>
              </w:rPr>
              <w:t>Claim in this memorandum</w:t>
            </w:r>
          </w:p>
        </w:tc>
        <w:tc>
          <w:tcPr>
            <w:tcW w:type="dxa" w:w="4176"/>
            <w:shd w:fill="D9D9D9"/>
          </w:tcPr>
          <w:p>
            <w:pPr>
              <w:jc w:val="center"/>
            </w:pPr>
            <w:r/>
            <w:r>
              <w:rPr>
                <w:rFonts w:ascii="Calibri" w:hAnsi="Calibri"/>
                <w:b/>
                <w:sz w:val="20"/>
              </w:rPr>
              <w:t>Suggested exhibit</w:t>
            </w:r>
          </w:p>
        </w:tc>
      </w:tr>
      <w:tr>
        <w:tc>
          <w:tcPr>
            <w:tcW w:type="dxa" w:w="1584"/>
          </w:tcPr>
          <w:p>
            <w:pPr>
              <w:spacing w:after="60"/>
            </w:pPr>
            <w:r/>
            <w:r>
              <w:rPr>
                <w:rFonts w:ascii="Calibri" w:hAnsi="Calibri"/>
                <w:sz w:val="20"/>
              </w:rPr>
              <w:t>IndieHunt</w:t>
            </w:r>
          </w:p>
        </w:tc>
        <w:tc>
          <w:tcPr>
            <w:tcW w:type="dxa" w:w="3168"/>
          </w:tcPr>
          <w:p>
            <w:pPr>
              <w:spacing w:after="60"/>
            </w:pPr>
            <w:r/>
            <w:r>
              <w:rPr>
                <w:rFonts w:ascii="Calibri" w:hAnsi="Calibri"/>
                <w:sz w:val="20"/>
              </w:rPr>
              <w:t>Featured listing or feature placement for VideoText.io</w:t>
            </w:r>
          </w:p>
        </w:tc>
        <w:tc>
          <w:tcPr>
            <w:tcW w:type="dxa" w:w="4176"/>
          </w:tcPr>
          <w:p>
            <w:pPr>
              <w:spacing w:after="60"/>
            </w:pPr>
            <w:r/>
            <w:r>
              <w:rPr>
                <w:rFonts w:ascii="Calibri" w:hAnsi="Calibri"/>
                <w:sz w:val="20"/>
              </w:rPr>
              <w:t>Screenshot or permalink to the IndieHunt feature page</w:t>
            </w:r>
          </w:p>
        </w:tc>
      </w:tr>
      <w:tr>
        <w:tc>
          <w:tcPr>
            <w:tcW w:type="dxa" w:w="1584"/>
          </w:tcPr>
          <w:p>
            <w:pPr>
              <w:spacing w:after="60"/>
            </w:pPr>
            <w:r/>
            <w:r>
              <w:rPr>
                <w:rFonts w:ascii="Calibri" w:hAnsi="Calibri"/>
                <w:sz w:val="20"/>
              </w:rPr>
              <w:t>Fazier</w:t>
            </w:r>
          </w:p>
        </w:tc>
        <w:tc>
          <w:tcPr>
            <w:tcW w:type="dxa" w:w="3168"/>
          </w:tcPr>
          <w:p>
            <w:pPr>
              <w:spacing w:after="60"/>
            </w:pPr>
            <w:r/>
            <w:r>
              <w:rPr>
                <w:rFonts w:ascii="Calibri" w:hAnsi="Calibri"/>
                <w:sz w:val="20"/>
              </w:rPr>
              <w:t>Fazier badge and/or published product page</w:t>
            </w:r>
          </w:p>
        </w:tc>
        <w:tc>
          <w:tcPr>
            <w:tcW w:type="dxa" w:w="4176"/>
          </w:tcPr>
          <w:p>
            <w:pPr>
              <w:spacing w:after="60"/>
            </w:pPr>
            <w:r/>
            <w:r>
              <w:rPr>
                <w:rFonts w:ascii="Calibri" w:hAnsi="Calibri"/>
                <w:sz w:val="20"/>
              </w:rPr>
              <w:t>Screenshot of badge on site and/or Fazier product URL</w:t>
            </w:r>
          </w:p>
        </w:tc>
      </w:tr>
      <w:tr>
        <w:tc>
          <w:tcPr>
            <w:tcW w:type="dxa" w:w="1584"/>
          </w:tcPr>
          <w:p>
            <w:pPr>
              <w:spacing w:after="60"/>
            </w:pPr>
            <w:r/>
            <w:r>
              <w:rPr>
                <w:rFonts w:ascii="Calibri" w:hAnsi="Calibri"/>
                <w:sz w:val="20"/>
              </w:rPr>
              <w:t>G2</w:t>
            </w:r>
          </w:p>
        </w:tc>
        <w:tc>
          <w:tcPr>
            <w:tcW w:type="dxa" w:w="3168"/>
          </w:tcPr>
          <w:p>
            <w:pPr>
              <w:spacing w:after="60"/>
            </w:pPr>
            <w:r/>
            <w:r>
              <w:rPr>
                <w:rFonts w:ascii="Calibri" w:hAnsi="Calibri"/>
                <w:sz w:val="20"/>
              </w:rPr>
              <w:t>Published product profile</w:t>
            </w:r>
          </w:p>
        </w:tc>
        <w:tc>
          <w:tcPr>
            <w:tcW w:type="dxa" w:w="4176"/>
          </w:tcPr>
          <w:p>
            <w:pPr>
              <w:spacing w:after="60"/>
            </w:pPr>
            <w:r/>
            <w:r>
              <w:rPr>
                <w:rFonts w:ascii="Calibri" w:hAnsi="Calibri"/>
                <w:sz w:val="20"/>
              </w:rPr>
              <w:t>G2 product page URL plus dated screenshot</w:t>
            </w:r>
          </w:p>
        </w:tc>
      </w:tr>
      <w:tr>
        <w:tc>
          <w:tcPr>
            <w:tcW w:type="dxa" w:w="1584"/>
          </w:tcPr>
          <w:p>
            <w:pPr>
              <w:spacing w:after="60"/>
            </w:pPr>
            <w:r/>
            <w:r>
              <w:rPr>
                <w:rFonts w:ascii="Calibri" w:hAnsi="Calibri"/>
                <w:sz w:val="20"/>
              </w:rPr>
              <w:t>Capterra</w:t>
            </w:r>
          </w:p>
        </w:tc>
        <w:tc>
          <w:tcPr>
            <w:tcW w:type="dxa" w:w="3168"/>
          </w:tcPr>
          <w:p>
            <w:pPr>
              <w:spacing w:after="60"/>
            </w:pPr>
            <w:r/>
            <w:r>
              <w:rPr>
                <w:rFonts w:ascii="Calibri" w:hAnsi="Calibri"/>
                <w:sz w:val="20"/>
              </w:rPr>
              <w:t>Published product profile</w:t>
            </w:r>
          </w:p>
        </w:tc>
        <w:tc>
          <w:tcPr>
            <w:tcW w:type="dxa" w:w="4176"/>
          </w:tcPr>
          <w:p>
            <w:pPr>
              <w:spacing w:after="60"/>
            </w:pPr>
            <w:r/>
            <w:r>
              <w:rPr>
                <w:rFonts w:ascii="Calibri" w:hAnsi="Calibri"/>
                <w:sz w:val="20"/>
              </w:rPr>
              <w:t>Capterra product page URL plus dated screenshot</w:t>
            </w:r>
          </w:p>
        </w:tc>
      </w:tr>
    </w:tbl>
    <w:p>
      <w:pPr>
        <w:pStyle w:val="Heading1"/>
        <w:spacing w:before="240" w:after="120"/>
      </w:pPr>
      <w:r>
        <w:rPr>
          <w:rFonts w:ascii="Calibri" w:hAnsi="Calibri"/>
          <w:color w:val="000000"/>
        </w:rPr>
        <w:t>Appendix: Public writing supporting VideoText.io</w:t>
      </w:r>
    </w:p>
    <w:p>
      <w:r>
        <w:t>The following items are public-facing articles used for product education, SEO, and distribution. They are not peer-reviewed scholarship; they supplement this memorandum by showing sustained, field-oriented communication around the same product described above. Immigration counsel may treat this appendix as part of this exhibit or split blog URLs and Medium reprints into separate labeled exhibits, depending on petition strategy.</w:t>
      </w:r>
    </w:p>
    <w:p>
      <w:r>
        <w:t>Recommendation: do not paste full article text into this Word file—keep the packet readable. Provide titles, stable URLs, and (where applicable) publication dates on the exhibit index; archive each URL (for example PDF print-to-file with date) if counsel advises.</w:t>
      </w:r>
    </w:p>
    <w:p>
      <w:pPr>
        <w:pStyle w:val="Heading2"/>
        <w:spacing w:before="200" w:after="120"/>
      </w:pPr>
      <w:r>
        <w:rPr>
          <w:rFonts w:ascii="Calibri" w:hAnsi="Calibri"/>
          <w:color w:val="000000"/>
        </w:rPr>
        <w:t>Article index (title, URL, channel)</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D9D9"/>
          </w:tcPr>
          <w:p>
            <w:pPr>
              <w:jc w:val="center"/>
            </w:pPr>
            <w:r/>
            <w:r>
              <w:rPr>
                <w:rFonts w:ascii="Calibri" w:hAnsi="Calibri"/>
                <w:b/>
                <w:sz w:val="20"/>
              </w:rPr>
              <w:t>Title</w:t>
            </w:r>
          </w:p>
        </w:tc>
        <w:tc>
          <w:tcPr>
            <w:tcW w:type="dxa" w:w="3744"/>
            <w:shd w:fill="D9D9D9"/>
          </w:tcPr>
          <w:p>
            <w:pPr>
              <w:jc w:val="center"/>
            </w:pPr>
            <w:r/>
            <w:r>
              <w:rPr>
                <w:rFonts w:ascii="Calibri" w:hAnsi="Calibri"/>
                <w:b/>
                <w:sz w:val="20"/>
              </w:rPr>
              <w:t>URL</w:t>
            </w:r>
          </w:p>
        </w:tc>
        <w:tc>
          <w:tcPr>
            <w:tcW w:type="dxa" w:w="2016"/>
            <w:shd w:fill="D9D9D9"/>
          </w:tcPr>
          <w:p>
            <w:pPr>
              <w:jc w:val="center"/>
            </w:pPr>
            <w:r/>
            <w:r>
              <w:rPr>
                <w:rFonts w:ascii="Calibri" w:hAnsi="Calibri"/>
                <w:b/>
                <w:sz w:val="20"/>
              </w:rPr>
              <w:t>Channel / platform</w:t>
            </w:r>
          </w:p>
        </w:tc>
      </w:tr>
      <w:tr>
        <w:tc>
          <w:tcPr>
            <w:tcW w:type="dxa" w:w="2880"/>
          </w:tcPr>
          <w:p>
            <w:pPr>
              <w:spacing w:after="60"/>
            </w:pPr>
            <w:r/>
            <w:r>
              <w:rPr>
                <w:rFonts w:ascii="Calibri" w:hAnsi="Calibri"/>
                <w:sz w:val="20"/>
              </w:rPr>
              <w:t>90-Minute Video Transcription Speed Test: VideoText vs TurboScribe vs Descript</w:t>
            </w:r>
          </w:p>
        </w:tc>
        <w:tc>
          <w:tcPr>
            <w:tcW w:type="dxa" w:w="3744"/>
          </w:tcPr>
          <w:p>
            <w:pPr>
              <w:spacing w:after="60"/>
            </w:pPr>
            <w:r/>
            <w:r>
              <w:rPr>
                <w:rFonts w:ascii="Calibri" w:hAnsi="Calibri"/>
                <w:sz w:val="20"/>
              </w:rPr>
              <w:t>https://blog.videotext.io/videotext-vs-turboscribe-vs-descript-speed-test</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Batch video transcription for creators and teams (queue many files without losing quality)</w:t>
            </w:r>
          </w:p>
        </w:tc>
        <w:tc>
          <w:tcPr>
            <w:tcW w:type="dxa" w:w="3744"/>
          </w:tcPr>
          <w:p>
            <w:pPr>
              <w:spacing w:after="60"/>
            </w:pPr>
            <w:r/>
            <w:r>
              <w:rPr>
                <w:rFonts w:ascii="Calibri" w:hAnsi="Calibri"/>
                <w:sz w:val="20"/>
              </w:rPr>
              <w:t>https://blog.videotext.io/batch-video-transcription-for-creators-and-teams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Best Transcription Tool for YouTube Videos (2026 Guide)</w:t>
            </w:r>
          </w:p>
        </w:tc>
        <w:tc>
          <w:tcPr>
            <w:tcW w:type="dxa" w:w="3744"/>
          </w:tcPr>
          <w:p>
            <w:pPr>
              <w:spacing w:after="60"/>
            </w:pPr>
            <w:r/>
            <w:r>
              <w:rPr>
                <w:rFonts w:ascii="Calibri" w:hAnsi="Calibri"/>
                <w:sz w:val="20"/>
              </w:rPr>
              <w:t>https://blog.videotext.io/transcription-tool-youtube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Best Transcription Tools 2026: TurboScribe, Otter, Descript, Rev — and the One That Actually Finishes the Job</w:t>
            </w:r>
          </w:p>
        </w:tc>
        <w:tc>
          <w:tcPr>
            <w:tcW w:type="dxa" w:w="3744"/>
          </w:tcPr>
          <w:p>
            <w:pPr>
              <w:spacing w:after="60"/>
            </w:pPr>
            <w:r/>
            <w:r>
              <w:rPr>
                <w:rFonts w:ascii="Calibri" w:hAnsi="Calibri"/>
                <w:sz w:val="20"/>
              </w:rPr>
              <w:t>https://blog.videotext.io/best-transcription-tools-2026</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Clean verbatim vs full verbatim for transcription freelancers (examples + payouts)</w:t>
            </w:r>
          </w:p>
        </w:tc>
        <w:tc>
          <w:tcPr>
            <w:tcW w:type="dxa" w:w="3744"/>
          </w:tcPr>
          <w:p>
            <w:pPr>
              <w:spacing w:after="60"/>
            </w:pPr>
            <w:r/>
            <w:r>
              <w:rPr>
                <w:rFonts w:ascii="Calibri" w:hAnsi="Calibri"/>
                <w:sz w:val="20"/>
              </w:rPr>
              <w:t>https://blog.videotext.io/clean-verbatim-vs-full-verbatim</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Freelance transcription style guide cheatsheet for GoTranscript, Scribie, and custom PDF briefs</w:t>
            </w:r>
          </w:p>
        </w:tc>
        <w:tc>
          <w:tcPr>
            <w:tcW w:type="dxa" w:w="3744"/>
          </w:tcPr>
          <w:p>
            <w:pPr>
              <w:spacing w:after="60"/>
            </w:pPr>
            <w:r/>
            <w:r>
              <w:rPr>
                <w:rFonts w:ascii="Calibri" w:hAnsi="Calibri"/>
                <w:sz w:val="20"/>
              </w:rPr>
              <w:t>https://blog.videotext.io/freelance-transcription-style-guide-cheatsheet</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Generate SRT subtitles from video online (MP4 to captions that editors actually ship)</w:t>
            </w:r>
          </w:p>
        </w:tc>
        <w:tc>
          <w:tcPr>
            <w:tcW w:type="dxa" w:w="3744"/>
          </w:tcPr>
          <w:p>
            <w:pPr>
              <w:spacing w:after="60"/>
            </w:pPr>
            <w:r/>
            <w:r>
              <w:rPr>
                <w:rFonts w:ascii="Calibri" w:hAnsi="Calibri"/>
                <w:sz w:val="20"/>
              </w:rPr>
              <w:t>https://blog.videotext.io/generate-srt-subtitles-from-video-online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Accurate Is Whisper Large-v3 on Difficult Audio?</w:t>
            </w:r>
          </w:p>
        </w:tc>
        <w:tc>
          <w:tcPr>
            <w:tcW w:type="dxa" w:w="3744"/>
          </w:tcPr>
          <w:p>
            <w:pPr>
              <w:spacing w:after="60"/>
            </w:pPr>
            <w:r/>
            <w:r>
              <w:rPr>
                <w:rFonts w:ascii="Calibri" w:hAnsi="Calibri"/>
                <w:sz w:val="20"/>
              </w:rPr>
              <w:t>https://blog.videotext.io/whisper-large-v3-accuracy-difficult-audio</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Agencies Process 100+ Hours of Audio Per Week</w:t>
            </w:r>
          </w:p>
        </w:tc>
        <w:tc>
          <w:tcPr>
            <w:tcW w:type="dxa" w:w="3744"/>
          </w:tcPr>
          <w:p>
            <w:pPr>
              <w:spacing w:after="60"/>
            </w:pPr>
            <w:r/>
            <w:r>
              <w:rPr>
                <w:rFonts w:ascii="Calibri" w:hAnsi="Calibri"/>
                <w:sz w:val="20"/>
              </w:rPr>
              <w:t>https://blog.videotext.io/how-agencies-process-100-hours-audio</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Professional Transcriptionists Actually Clean Transcripts</w:t>
            </w:r>
          </w:p>
        </w:tc>
        <w:tc>
          <w:tcPr>
            <w:tcW w:type="dxa" w:w="3744"/>
          </w:tcPr>
          <w:p>
            <w:pPr>
              <w:spacing w:after="60"/>
            </w:pPr>
            <w:r/>
            <w:r>
              <w:rPr>
                <w:rFonts w:ascii="Calibri" w:hAnsi="Calibri"/>
                <w:sz w:val="20"/>
              </w:rPr>
              <w:t>https://blog.videotext.io/how-professional-transcriptionists-clean-transcripts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to earn more per hour as a transcriptionist without burning out</w:t>
            </w:r>
          </w:p>
        </w:tc>
        <w:tc>
          <w:tcPr>
            <w:tcW w:type="dxa" w:w="3744"/>
          </w:tcPr>
          <w:p>
            <w:pPr>
              <w:spacing w:after="60"/>
            </w:pPr>
            <w:r/>
            <w:r>
              <w:rPr>
                <w:rFonts w:ascii="Calibri" w:hAnsi="Calibri"/>
                <w:sz w:val="20"/>
              </w:rPr>
              <w:t>https://blog.videotext.io/how-to-earn-more-per-hour-as-a-transcriptionist</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to Transcribe a 2-Hour Video in Minutes (Step-by-Step Guide)</w:t>
            </w:r>
          </w:p>
        </w:tc>
        <w:tc>
          <w:tcPr>
            <w:tcW w:type="dxa" w:w="3744"/>
          </w:tcPr>
          <w:p>
            <w:pPr>
              <w:spacing w:after="60"/>
            </w:pPr>
            <w:r/>
            <w:r>
              <w:rPr>
                <w:rFonts w:ascii="Calibri" w:hAnsi="Calibri"/>
                <w:sz w:val="20"/>
              </w:rPr>
              <w:t>https://blog.videotext.io/transcribe-long-video</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Human QA vs AI QA: Where Errors Actually Happen</w:t>
            </w:r>
          </w:p>
        </w:tc>
        <w:tc>
          <w:tcPr>
            <w:tcW w:type="dxa" w:w="3744"/>
          </w:tcPr>
          <w:p>
            <w:pPr>
              <w:spacing w:after="60"/>
            </w:pPr>
            <w:r/>
            <w:r>
              <w:rPr>
                <w:rFonts w:ascii="Calibri" w:hAnsi="Calibri"/>
                <w:sz w:val="20"/>
              </w:rPr>
              <w:t>https://blog.videotext.io/human-qa-vs-ai-qa-where-errors-happen</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Manual Timestamp Fixing Is Wasting Hours of Your Week</w:t>
            </w:r>
          </w:p>
        </w:tc>
        <w:tc>
          <w:tcPr>
            <w:tcW w:type="dxa" w:w="3744"/>
          </w:tcPr>
          <w:p>
            <w:pPr>
              <w:spacing w:after="60"/>
            </w:pPr>
            <w:r/>
            <w:r>
              <w:rPr>
                <w:rFonts w:ascii="Calibri" w:hAnsi="Calibri"/>
                <w:sz w:val="20"/>
              </w:rPr>
              <w:t>https://blog.videotext.io/manual-timestamp-fixing-is-wasting-hours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Otter vs Descript vs TurboScribe: Which Transcription Tool Actually Saves Time?</w:t>
            </w:r>
          </w:p>
        </w:tc>
        <w:tc>
          <w:tcPr>
            <w:tcW w:type="dxa" w:w="3744"/>
          </w:tcPr>
          <w:p>
            <w:pPr>
              <w:spacing w:after="60"/>
            </w:pPr>
            <w:r/>
            <w:r>
              <w:rPr>
                <w:rFonts w:ascii="Calibri" w:hAnsi="Calibri"/>
                <w:sz w:val="20"/>
              </w:rPr>
              <w:t>https://blog.videotext.io/otter-vs-descript-vs-turboscribe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Rev Style Guide Formatting Errors We See Repeatedly</w:t>
            </w:r>
          </w:p>
        </w:tc>
        <w:tc>
          <w:tcPr>
            <w:tcW w:type="dxa" w:w="3744"/>
          </w:tcPr>
          <w:p>
            <w:pPr>
              <w:spacing w:after="60"/>
            </w:pPr>
            <w:r/>
            <w:r>
              <w:rPr>
                <w:rFonts w:ascii="Calibri" w:hAnsi="Calibri"/>
                <w:sz w:val="20"/>
              </w:rPr>
              <w:t>https://blog.videotext.io/rev-style-guide-formatting-errors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Rev style guide transcript formatter: map rough AI text to payout rules</w:t>
            </w:r>
          </w:p>
        </w:tc>
        <w:tc>
          <w:tcPr>
            <w:tcW w:type="dxa" w:w="3744"/>
          </w:tcPr>
          <w:p>
            <w:pPr>
              <w:spacing w:after="60"/>
            </w:pPr>
            <w:r/>
            <w:r>
              <w:rPr>
                <w:rFonts w:ascii="Calibri" w:hAnsi="Calibri"/>
                <w:sz w:val="20"/>
              </w:rPr>
              <w:t>https://blog.videotext.io/rev-style-guide-transcript-formatter</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Speaker Diarization Problems Nobody Talks About</w:t>
            </w:r>
          </w:p>
        </w:tc>
        <w:tc>
          <w:tcPr>
            <w:tcW w:type="dxa" w:w="3744"/>
          </w:tcPr>
          <w:p>
            <w:pPr>
              <w:spacing w:after="60"/>
            </w:pPr>
            <w:r/>
            <w:r>
              <w:rPr>
                <w:rFonts w:ascii="Calibri" w:hAnsi="Calibri"/>
                <w:sz w:val="20"/>
              </w:rPr>
              <w:t>https://blog.videotext.io/speaker-diarization-problems-nobody-talks-about</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The Hidden Cost of Multi-Tool Transcription Workflows</w:t>
            </w:r>
          </w:p>
        </w:tc>
        <w:tc>
          <w:tcPr>
            <w:tcW w:type="dxa" w:w="3744"/>
          </w:tcPr>
          <w:p>
            <w:pPr>
              <w:spacing w:after="60"/>
            </w:pPr>
            <w:r/>
            <w:r>
              <w:rPr>
                <w:rFonts w:ascii="Calibri" w:hAnsi="Calibri"/>
                <w:sz w:val="20"/>
              </w:rPr>
              <w:t>https://blog.videotext.io/hidden-cost-of-multi-tool-transcription-workflows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The Real Workflow Behind Transcript QA Review</w:t>
            </w:r>
          </w:p>
        </w:tc>
        <w:tc>
          <w:tcPr>
            <w:tcW w:type="dxa" w:w="3744"/>
          </w:tcPr>
          <w:p>
            <w:pPr>
              <w:spacing w:after="60"/>
            </w:pPr>
            <w:r/>
            <w:r>
              <w:rPr>
                <w:rFonts w:ascii="Calibri" w:hAnsi="Calibri"/>
                <w:sz w:val="20"/>
              </w:rPr>
              <w:t>https://blog.videotext.io/real-workflow-behind-qa-review</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Translate SRT and VTT subtitle files online (keep timecodes + ship bilingual captions)</w:t>
            </w:r>
          </w:p>
        </w:tc>
        <w:tc>
          <w:tcPr>
            <w:tcW w:type="dxa" w:w="3744"/>
          </w:tcPr>
          <w:p>
            <w:pPr>
              <w:spacing w:after="60"/>
            </w:pPr>
            <w:r/>
            <w:r>
              <w:rPr>
                <w:rFonts w:ascii="Calibri" w:hAnsi="Calibri"/>
                <w:sz w:val="20"/>
              </w:rPr>
              <w:t>https://blog.videotext.io/translate-subtitle-files-srt-vtt-online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TurboScribe Alternative: The Best Option for Faster, Structured Transcription (2026)</w:t>
            </w:r>
          </w:p>
        </w:tc>
        <w:tc>
          <w:tcPr>
            <w:tcW w:type="dxa" w:w="3744"/>
          </w:tcPr>
          <w:p>
            <w:pPr>
              <w:spacing w:after="60"/>
            </w:pPr>
            <w:r/>
            <w:r>
              <w:rPr>
                <w:rFonts w:ascii="Calibri" w:hAnsi="Calibri"/>
                <w:sz w:val="20"/>
              </w:rPr>
              <w:t>https://blog.videotext.io/turboscribe-alternative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What is transcript QA? Checklist freelancers + agencies both use before delivery</w:t>
            </w:r>
          </w:p>
        </w:tc>
        <w:tc>
          <w:tcPr>
            <w:tcW w:type="dxa" w:w="3744"/>
          </w:tcPr>
          <w:p>
            <w:pPr>
              <w:spacing w:after="60"/>
            </w:pPr>
            <w:r/>
            <w:r>
              <w:rPr>
                <w:rFonts w:ascii="Calibri" w:hAnsi="Calibri"/>
                <w:sz w:val="20"/>
              </w:rPr>
              <w:t>https://blog.videotext.io/what-is-transcript-qa</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Why Formatting Is Still the Most Annoying Part of Transcription</w:t>
            </w:r>
          </w:p>
        </w:tc>
        <w:tc>
          <w:tcPr>
            <w:tcW w:type="dxa" w:w="3744"/>
          </w:tcPr>
          <w:p>
            <w:pPr>
              <w:spacing w:after="60"/>
            </w:pPr>
            <w:r/>
            <w:r>
              <w:rPr>
                <w:rFonts w:ascii="Calibri" w:hAnsi="Calibri"/>
                <w:sz w:val="20"/>
              </w:rPr>
              <w:t>https://blog.videotext.io/why-formatting-is-the-most-annoying-part-of-transcription</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Why Most AI Transcription Tools Fail for Long-Form Content</w:t>
            </w:r>
          </w:p>
        </w:tc>
        <w:tc>
          <w:tcPr>
            <w:tcW w:type="dxa" w:w="3744"/>
          </w:tcPr>
          <w:p>
            <w:pPr>
              <w:spacing w:after="60"/>
            </w:pPr>
            <w:r/>
            <w:r>
              <w:rPr>
                <w:rFonts w:ascii="Calibri" w:hAnsi="Calibri"/>
                <w:sz w:val="20"/>
              </w:rPr>
              <w:t>https://blog.videotext.io/why-transcription-tools-fail</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Why Most AI Transcripts Fail QA</w:t>
            </w:r>
          </w:p>
        </w:tc>
        <w:tc>
          <w:tcPr>
            <w:tcW w:type="dxa" w:w="3744"/>
          </w:tcPr>
          <w:p>
            <w:pPr>
              <w:spacing w:after="60"/>
            </w:pPr>
            <w:r/>
            <w:r>
              <w:rPr>
                <w:rFonts w:ascii="Calibri" w:hAnsi="Calibri"/>
                <w:sz w:val="20"/>
              </w:rPr>
              <w:t>https://blog.videotext.io/why-ai-transcripts-fail-qa</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YouTube URL to transcript without downloading the video (fast + SEO-safe workflow)</w:t>
            </w:r>
          </w:p>
        </w:tc>
        <w:tc>
          <w:tcPr>
            <w:tcW w:type="dxa" w:w="3744"/>
          </w:tcPr>
          <w:p>
            <w:pPr>
              <w:spacing w:after="60"/>
            </w:pPr>
            <w:r/>
            <w:r>
              <w:rPr>
                <w:rFonts w:ascii="Calibri" w:hAnsi="Calibri"/>
                <w:sz w:val="20"/>
              </w:rPr>
              <w:t>https://blog.videotext.io/youtube-url-to-transcript-without-download</w:t>
            </w:r>
          </w:p>
        </w:tc>
        <w:tc>
          <w:tcPr>
            <w:tcW w:type="dxa" w:w="2016"/>
          </w:tcPr>
          <w:p>
            <w:pPr>
              <w:spacing w:after="60"/>
            </w:pPr>
            <w:r/>
            <w:r>
              <w:rPr>
                <w:rFonts w:ascii="Calibri" w:hAnsi="Calibri"/>
                <w:sz w:val="20"/>
              </w:rPr>
              <w:t>VideoText.io blog</w:t>
            </w:r>
          </w:p>
        </w:tc>
      </w:tr>
    </w:tbl>
    <w:p>
      <w:pPr>
        <w:spacing w:before="120"/>
      </w:pPr>
      <w:r>
        <w:rPr>
          <w:i/>
          <w:sz w:val="20"/>
        </w:rPr>
        <w:t>Auto-listed VideoText.io blog posts: 27. Additional lines from extra_public_writing_urls.txt: 0.</w:t>
      </w:r>
    </w:p>
    <w:p/>
    <w:p>
      <w:r>
        <w:rPr>
          <w:i/>
          <w:sz w:val="20"/>
        </w:rPr>
        <w:t>Prepared as a technical exhibit for immigration counsel; last regenerated 2026-08-08. Attach the camera-ready ICCS PDF to the petition as the primary scholarly exhibit. The operational snapshot above is current as of the regeneration date; refresh it from the live dashboard immediately before filing. Add redacted revenue and subscriber-count figures only as a separate exhibit if counsel approves — this memorandum otherwise cites operational/quality metrics (throughput, reliability, ratings, growth) rather than revenue, which is more time-sensitive and commercially sensitive.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