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CONSULTING SERVICES AGREEMENT (Version 1.0)</w:t>
      </w:r>
    </w:p>
    <w:p>
      <w:r>
        <w:t>This Consulting Services Agreement is entered into on October 1, 2026, by and between CloudScale Inc. ("Client") and Sarah Lin ("Consultant").</w:t>
      </w:r>
    </w:p>
    <w:p>
      <w:pPr>
        <w:pStyle w:val="Heading1"/>
      </w:pPr>
      <w:r>
        <w:t>1. Scope of Work</w:t>
      </w:r>
    </w:p>
    <w:p>
      <w:r>
        <w:t>Consultant will provide senior cloud architecture design and technical advisory services.</w:t>
      </w:r>
    </w:p>
    <w:p>
      <w:pPr>
        <w:pStyle w:val="Heading1"/>
      </w:pPr>
      <w:r>
        <w:t>2. Payment Terms</w:t>
      </w:r>
    </w:p>
    <w:p>
      <w:r>
        <w:t>Client shall pay Consultant a fixed rate of $150 per hour. Invoices shall be rendered monthly and paid within Net 30 days.</w:t>
      </w:r>
    </w:p>
    <w:p>
      <w:pPr>
        <w:pStyle w:val="Heading1"/>
      </w:pPr>
      <w:r>
        <w:t>3. Term and Termination</w:t>
      </w:r>
    </w:p>
    <w:p>
      <w:r>
        <w:t>This Agreement shall commence on October 1, 2026 and continue for a term of six (6) months. Either party may terminate upon thirty (30) days prior written notice.</w:t>
      </w:r>
    </w:p>
    <w:p>
      <w:pPr>
        <w:pStyle w:val="Heading1"/>
      </w:pPr>
      <w:r>
        <w:t>4. Limitation of Liability</w:t>
      </w:r>
    </w:p>
    <w:p>
      <w:r>
        <w:t>Consultant liability under this agreement shall be strictly capped at the total amount received in the preceding three months.</w:t>
      </w:r>
    </w:p>
    <w:p>
      <w:pPr>
        <w:pStyle w:val="Heading1"/>
      </w:pPr>
      <w:r>
        <w:t>5. Governing Law</w:t>
      </w:r>
    </w:p>
    <w:p>
      <w:r>
        <w:t>This Agreement shall be governed by and construed under the laws of the State of California.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