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C3C" w:rsidRPr="00090C3C" w:rsidRDefault="00090C3C" w:rsidP="00090C3C">
      <w:pPr>
        <w:rPr>
          <w:rFonts w:hint="eastAsia"/>
        </w:rPr>
      </w:pPr>
      <w:r w:rsidRPr="00090C3C">
        <w:rPr>
          <w:rFonts w:hint="eastAsia"/>
        </w:rPr>
        <w:t>下面假设</w:t>
      </w:r>
      <w:r w:rsidRPr="00090C3C">
        <w:object w:dxaOrig="16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15pt" o:ole="">
            <v:imagedata r:id="rId4" o:title=""/>
          </v:shape>
          <o:OLEObject Type="Embed" ProgID="Equation.DSMT4" ShapeID="_x0000_i1025" DrawAspect="Content" ObjectID="_1689022784" r:id="rId5"/>
        </w:object>
      </w:r>
      <w:r w:rsidRPr="00090C3C">
        <w:rPr>
          <w:rFonts w:hint="eastAsia"/>
        </w:rPr>
        <w:t>，交易规则如下：</w:t>
      </w:r>
      <w:bookmarkStart w:id="0" w:name="_GoBack"/>
      <w:bookmarkEnd w:id="0"/>
    </w:p>
    <w:p w:rsidR="00090C3C" w:rsidRPr="00090C3C" w:rsidRDefault="00090C3C" w:rsidP="00090C3C">
      <w:r w:rsidRPr="00090C3C">
        <w:rPr>
          <w:rFonts w:hint="eastAsia"/>
        </w:rPr>
        <w:t xml:space="preserve"> </w:t>
      </w:r>
      <w:r w:rsidRPr="00090C3C">
        <w:t xml:space="preserve">      </w:t>
      </w:r>
      <w:r w:rsidRPr="00090C3C">
        <w:rPr>
          <w:rFonts w:hint="eastAsia"/>
        </w:rPr>
        <w:t>收益</w:t>
      </w:r>
      <w:r w:rsidRPr="00090C3C">
        <w:object w:dxaOrig="240" w:dyaOrig="360">
          <v:shape id="_x0000_i1026" type="#_x0000_t75" style="width:11.25pt;height:19.15pt" o:ole="">
            <v:imagedata r:id="rId6" o:title=""/>
          </v:shape>
          <o:OLEObject Type="Embed" ProgID="Equation.DSMT4" ShapeID="_x0000_i1026" DrawAspect="Content" ObjectID="_1689022785" r:id="rId7"/>
        </w:object>
      </w:r>
      <w:r w:rsidRPr="00090C3C">
        <w:object w:dxaOrig="840" w:dyaOrig="360">
          <v:shape id="_x0000_i1027" type="#_x0000_t75" style="width:41.65pt;height:19.15pt" o:ole="">
            <v:imagedata r:id="rId8" o:title=""/>
          </v:shape>
          <o:OLEObject Type="Embed" ProgID="Equation.DSMT4" ShapeID="_x0000_i1027" DrawAspect="Content" ObjectID="_1689022786" r:id="rId9"/>
        </w:object>
      </w:r>
      <w:r w:rsidRPr="00090C3C">
        <w:rPr>
          <w:rFonts w:hint="eastAsia"/>
        </w:rPr>
        <w:t>、交易成本</w:t>
      </w:r>
      <w:r w:rsidRPr="00090C3C">
        <w:object w:dxaOrig="999" w:dyaOrig="380">
          <v:shape id="_x0000_i1028" type="#_x0000_t75" style="width:49.15pt;height:19.15pt" o:ole="">
            <v:imagedata r:id="rId10" o:title=""/>
          </v:shape>
          <o:OLEObject Type="Embed" ProgID="Equation.DSMT4" ShapeID="_x0000_i1028" DrawAspect="Content" ObjectID="_1689022787" r:id="rId11"/>
        </w:object>
      </w:r>
      <w:r w:rsidRPr="00090C3C">
        <w:rPr>
          <w:rFonts w:hint="eastAsia"/>
        </w:rPr>
        <w:t>、基于过去</w:t>
      </w:r>
      <w:r w:rsidRPr="00090C3C">
        <w:t>d分钟(d ∈ N)收益的平均水平μ(t)和标准偏差σ(t)</w:t>
      </w:r>
      <w:r w:rsidRPr="00090C3C">
        <w:rPr>
          <w:rFonts w:hint="eastAsia"/>
        </w:rPr>
        <w:t>，</w:t>
      </w:r>
    </w:p>
    <w:p w:rsidR="00090C3C" w:rsidRPr="00090C3C" w:rsidRDefault="00090C3C" w:rsidP="00090C3C">
      <w:pPr>
        <w:rPr>
          <w:b/>
        </w:rPr>
      </w:pPr>
      <w:r w:rsidRPr="00090C3C">
        <w:rPr>
          <w:rFonts w:hint="eastAsia"/>
        </w:rPr>
        <w:t xml:space="preserve"> </w:t>
      </w:r>
      <w:r w:rsidRPr="00090C3C">
        <w:rPr>
          <w:rFonts w:hint="eastAsia"/>
          <w:b/>
        </w:rPr>
        <w:t>采用以下交易进入信号</w:t>
      </w:r>
      <w:r w:rsidRPr="00090C3C">
        <w:rPr>
          <w:b/>
        </w:rPr>
        <w:t>:</w:t>
      </w:r>
    </w:p>
    <w:p w:rsidR="00090C3C" w:rsidRPr="00090C3C" w:rsidRDefault="00090C3C" w:rsidP="00090C3C">
      <w:r w:rsidRPr="00090C3C">
        <w:t xml:space="preserve">      </w:t>
      </w:r>
      <w:r w:rsidRPr="00090C3C">
        <w:fldChar w:fldCharType="begin"/>
      </w:r>
      <w:r w:rsidRPr="00090C3C">
        <w:instrText xml:space="preserve"> </w:instrText>
      </w:r>
      <w:r w:rsidRPr="00090C3C">
        <w:rPr>
          <w:rFonts w:hint="eastAsia"/>
        </w:rPr>
        <w:instrText>= 1 \* roman</w:instrText>
      </w:r>
      <w:r w:rsidRPr="00090C3C">
        <w:instrText xml:space="preserve"> </w:instrText>
      </w:r>
      <w:r w:rsidRPr="00090C3C">
        <w:fldChar w:fldCharType="separate"/>
      </w:r>
      <w:r w:rsidRPr="00090C3C">
        <w:t>i</w:t>
      </w:r>
      <w:r w:rsidRPr="00090C3C">
        <w:fldChar w:fldCharType="end"/>
      </w:r>
      <w:r w:rsidRPr="00090C3C">
        <w:rPr>
          <w:rFonts w:hint="eastAsia"/>
        </w:rPr>
        <w:t>、</w:t>
      </w:r>
      <w:r w:rsidRPr="00090C3C">
        <w:rPr>
          <w:noProof/>
        </w:rPr>
        <w:drawing>
          <wp:inline distT="0" distB="0" distL="0" distR="0" wp14:anchorId="300C1356" wp14:editId="5A4E9B17">
            <wp:extent cx="1657362" cy="1333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62" cy="1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3C">
        <w:t>即y被低估。因此，交易策略在y的股票上做多，在标准普尔500指数上做</w:t>
      </w:r>
      <w:r w:rsidRPr="00090C3C">
        <w:rPr>
          <w:rFonts w:hint="eastAsia"/>
        </w:rPr>
        <w:t>空</w:t>
      </w:r>
      <w:r w:rsidRPr="00090C3C">
        <w:t>。</w:t>
      </w:r>
    </w:p>
    <w:p w:rsidR="00090C3C" w:rsidRPr="00090C3C" w:rsidRDefault="00090C3C" w:rsidP="00090C3C">
      <w:r w:rsidRPr="00090C3C">
        <w:t xml:space="preserve">      </w:t>
      </w:r>
      <w:r w:rsidRPr="00090C3C">
        <w:fldChar w:fldCharType="begin"/>
      </w:r>
      <w:r w:rsidRPr="00090C3C">
        <w:instrText xml:space="preserve"> </w:instrText>
      </w:r>
      <w:r w:rsidRPr="00090C3C">
        <w:rPr>
          <w:rFonts w:hint="eastAsia"/>
        </w:rPr>
        <w:instrText>= 2 \* roman</w:instrText>
      </w:r>
      <w:r w:rsidRPr="00090C3C">
        <w:instrText xml:space="preserve"> </w:instrText>
      </w:r>
      <w:r w:rsidRPr="00090C3C">
        <w:fldChar w:fldCharType="separate"/>
      </w:r>
      <w:r w:rsidRPr="00090C3C">
        <w:t>ii</w:t>
      </w:r>
      <w:r w:rsidRPr="00090C3C">
        <w:fldChar w:fldCharType="end"/>
      </w:r>
      <w:r w:rsidRPr="00090C3C">
        <w:rPr>
          <w:rFonts w:hint="eastAsia"/>
        </w:rPr>
        <w:t>、</w:t>
      </w:r>
      <w:r w:rsidRPr="00090C3C">
        <w:rPr>
          <w:noProof/>
        </w:rPr>
        <w:drawing>
          <wp:inline distT="0" distB="0" distL="0" distR="0" wp14:anchorId="14A09AD3" wp14:editId="70603F7B">
            <wp:extent cx="1724038" cy="15716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4038" cy="1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C3C">
        <w:rPr>
          <w:rFonts w:hint="eastAsia"/>
        </w:rPr>
        <w:t>，即</w:t>
      </w:r>
      <w:r w:rsidRPr="00090C3C">
        <w:t>y被高估。因此，交易策略在y的股票上做空，在标准普尔500指数上做多。</w:t>
      </w:r>
    </w:p>
    <w:p w:rsidR="00090C3C" w:rsidRPr="00090C3C" w:rsidRDefault="00090C3C" w:rsidP="00090C3C">
      <w:r w:rsidRPr="00090C3C">
        <w:t xml:space="preserve">      </w:t>
      </w:r>
      <w:r w:rsidRPr="00090C3C">
        <w:fldChar w:fldCharType="begin"/>
      </w:r>
      <w:r w:rsidRPr="00090C3C">
        <w:instrText xml:space="preserve"> </w:instrText>
      </w:r>
      <w:r w:rsidRPr="00090C3C">
        <w:rPr>
          <w:rFonts w:hint="eastAsia"/>
        </w:rPr>
        <w:instrText>= 3 \* roman</w:instrText>
      </w:r>
      <w:r w:rsidRPr="00090C3C">
        <w:instrText xml:space="preserve"> </w:instrText>
      </w:r>
      <w:r w:rsidRPr="00090C3C">
        <w:fldChar w:fldCharType="separate"/>
      </w:r>
      <w:r w:rsidRPr="00090C3C">
        <w:t>iii</w:t>
      </w:r>
      <w:r w:rsidRPr="00090C3C">
        <w:fldChar w:fldCharType="end"/>
      </w:r>
      <w:r w:rsidRPr="00090C3C">
        <w:rPr>
          <w:rFonts w:hint="eastAsia"/>
        </w:rPr>
        <w:t>、否则，假设</w:t>
      </w:r>
      <w:r w:rsidRPr="00090C3C">
        <w:t>y的股票在未来不会出现任何有意义的错误定价。因此，交易策略不执行任何交易</w:t>
      </w:r>
      <w:r w:rsidRPr="00090C3C">
        <w:rPr>
          <w:rFonts w:hint="eastAsia"/>
        </w:rPr>
        <w:t>。</w:t>
      </w:r>
    </w:p>
    <w:p w:rsidR="00FB3F2E" w:rsidRDefault="00090C3C">
      <w:r w:rsidRPr="00090C3C">
        <w:t>在每个进场信号下，该框架买入价值1美元的被低估股票，做空价值1美元的被高估股票</w:t>
      </w:r>
      <w:r w:rsidRPr="00090C3C">
        <w:rPr>
          <w:rFonts w:hint="eastAsia"/>
        </w:rPr>
        <w:t>。根据文献</w:t>
      </w:r>
      <w:r w:rsidRPr="00090C3C">
        <w:t>s=10,d=20,k=2.5</w:t>
      </w:r>
      <w:r w:rsidRPr="00090C3C">
        <w:rPr>
          <w:rFonts w:hint="eastAsia"/>
        </w:rPr>
        <w:t>。</w:t>
      </w:r>
    </w:p>
    <w:p w:rsidR="004E2763" w:rsidRDefault="004E2763"/>
    <w:p w:rsidR="004E2763" w:rsidRDefault="00854197">
      <w:r>
        <w:rPr>
          <w:noProof/>
        </w:rPr>
        <w:drawing>
          <wp:inline distT="0" distB="0" distL="0" distR="0" wp14:anchorId="20573D50" wp14:editId="0C2B1A63">
            <wp:extent cx="5119725" cy="226696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9725" cy="226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C" w:rsidRDefault="00173863" w:rsidP="00173863">
      <w:pPr>
        <w:ind w:firstLineChars="300" w:firstLine="630"/>
      </w:pPr>
      <w:r>
        <w:rPr>
          <w:rFonts w:hint="eastAsia"/>
        </w:rPr>
        <w:t>所有股票价格数据标准化处理后，经过算法选出的前十个pairs，假设上图是其中一对的价格走势曲线，</w:t>
      </w:r>
      <w:r w:rsidR="00EC303C">
        <w:rPr>
          <w:rFonts w:hint="eastAsia"/>
        </w:rPr>
        <w:t>曲线会有同样的走势，且</w:t>
      </w:r>
      <w:r w:rsidR="00EC303C" w:rsidRPr="00EC303C">
        <w:object w:dxaOrig="1660" w:dyaOrig="340">
          <v:shape id="_x0000_i1029" type="#_x0000_t75" style="width:83.25pt;height:15pt" o:ole="">
            <v:imagedata r:id="rId4" o:title=""/>
          </v:shape>
          <o:OLEObject Type="Embed" ProgID="Equation.DSMT4" ShapeID="_x0000_i1029" DrawAspect="Content" ObjectID="_1689022788" r:id="rId15"/>
        </w:object>
      </w:r>
      <w:r w:rsidR="00EC303C">
        <w:rPr>
          <w:rFonts w:hint="eastAsia"/>
        </w:rPr>
        <w:t>，在A点，</w:t>
      </w:r>
      <w:r w:rsidR="00EC303C" w:rsidRPr="00EC303C">
        <w:rPr>
          <w:position w:val="-16"/>
        </w:rPr>
        <w:object w:dxaOrig="340" w:dyaOrig="520">
          <v:shape id="_x0000_i1030" type="#_x0000_t75" style="width:16.9pt;height:25.9pt" o:ole="">
            <v:imagedata r:id="rId16" o:title=""/>
          </v:shape>
          <o:OLEObject Type="Embed" ProgID="Equation.DSMT4" ShapeID="_x0000_i1030" DrawAspect="Content" ObjectID="_1689022789" r:id="rId17"/>
        </w:object>
      </w:r>
      <w:r w:rsidR="00EC303C">
        <w:rPr>
          <w:rFonts w:hint="eastAsia"/>
        </w:rPr>
        <w:t>触及了</w:t>
      </w:r>
      <w:r w:rsidR="00EC303C">
        <w:rPr>
          <w:rFonts w:ascii="Arial" w:hAnsi="Arial" w:cs="Arial"/>
          <w:color w:val="333333"/>
          <w:sz w:val="20"/>
          <w:szCs w:val="20"/>
          <w:shd w:val="clear" w:color="auto" w:fill="FFFFFF"/>
        </w:rPr>
        <w:t>Bollinger Band</w:t>
      </w:r>
      <w:r w:rsidR="00EC30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上方的边界，意味着出现了</w:t>
      </w:r>
      <w:r w:rsidR="00EC303C">
        <w:rPr>
          <w:rFonts w:ascii="Arial" w:hAnsi="Arial" w:cs="Arial"/>
          <w:color w:val="333333"/>
          <w:sz w:val="20"/>
          <w:szCs w:val="20"/>
          <w:shd w:val="clear" w:color="auto" w:fill="FFFFFF"/>
        </w:rPr>
        <w:t>misprice</w:t>
      </w:r>
      <w:r w:rsidR="00EC30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（出现了价格偏差），</w:t>
      </w:r>
      <w:r w:rsidR="00221A39" w:rsidRPr="00EC303C">
        <w:rPr>
          <w:rFonts w:ascii="Arial" w:hAnsi="Arial" w:cs="Arial"/>
          <w:color w:val="333333"/>
          <w:position w:val="-6"/>
          <w:sz w:val="20"/>
          <w:szCs w:val="20"/>
          <w:shd w:val="clear" w:color="auto" w:fill="FFFFFF"/>
        </w:rPr>
        <w:object w:dxaOrig="160" w:dyaOrig="320">
          <v:shape id="_x0000_i1031" type="#_x0000_t75" style="width:7.9pt;height:15.75pt" o:ole="">
            <v:imagedata r:id="rId18" o:title=""/>
          </v:shape>
          <o:OLEObject Type="Embed" ProgID="Equation.DSMT4" ShapeID="_x0000_i1031" DrawAspect="Content" ObjectID="_1689022790" r:id="rId19"/>
        </w:object>
      </w:r>
      <w:r w:rsidR="00EC30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分钟以后</w:t>
      </w:r>
      <w:r w:rsidR="00EC303C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也会出现这种走势。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被低估。因此，交易策略在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y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股票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点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上做多，在标准普尔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500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指数上做</w:t>
      </w:r>
      <w:r w:rsidRPr="00173863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空</w:t>
      </w:r>
      <w:r w:rsidRPr="00173863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  <w:r w:rsidR="00911F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反之，如果</w:t>
      </w:r>
      <w:r w:rsidR="00911F6B" w:rsidRPr="00EC303C">
        <w:rPr>
          <w:position w:val="-16"/>
        </w:rPr>
        <w:object w:dxaOrig="340" w:dyaOrig="520">
          <v:shape id="_x0000_i1032" type="#_x0000_t75" style="width:16.9pt;height:25.9pt" o:ole="">
            <v:imagedata r:id="rId16" o:title=""/>
          </v:shape>
          <o:OLEObject Type="Embed" ProgID="Equation.DSMT4" ShapeID="_x0000_i1032" DrawAspect="Content" ObjectID="_1689022791" r:id="rId20"/>
        </w:object>
      </w:r>
      <w:r w:rsidR="00911F6B">
        <w:rPr>
          <w:rFonts w:hint="eastAsia"/>
        </w:rPr>
        <w:t>触及</w:t>
      </w:r>
      <w:r w:rsidR="00911F6B">
        <w:rPr>
          <w:rFonts w:ascii="Arial" w:hAnsi="Arial" w:cs="Arial"/>
          <w:color w:val="333333"/>
          <w:sz w:val="20"/>
          <w:szCs w:val="20"/>
          <w:shd w:val="clear" w:color="auto" w:fill="FFFFFF"/>
        </w:rPr>
        <w:t>Bollinger Band</w:t>
      </w:r>
      <w:r w:rsidR="00911F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下方的边界。意味着</w:t>
      </w:r>
      <w:r w:rsidR="00911F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r w:rsidR="00911F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被高估了，</w:t>
      </w:r>
      <w:r w:rsidR="00911F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</w:t>
      </w:r>
      <w:r w:rsidR="00911F6B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的价格将会下跌，</w:t>
      </w:r>
      <w:r w:rsidR="00911F6B" w:rsidRPr="00090C3C">
        <w:t>交易策略在y</w:t>
      </w:r>
      <w:r w:rsidR="00911F6B">
        <w:t>的股票上做空</w:t>
      </w:r>
      <w:r w:rsidR="00911F6B">
        <w:rPr>
          <w:rFonts w:hint="eastAsia"/>
        </w:rPr>
        <w:t>，</w:t>
      </w:r>
      <w:r w:rsidR="00911F6B" w:rsidRPr="00090C3C">
        <w:t>在标准普尔500指数上做多。</w:t>
      </w:r>
    </w:p>
    <w:p w:rsidR="00797577" w:rsidRDefault="00797577" w:rsidP="00797577">
      <w:pPr>
        <w:ind w:firstLineChars="300" w:firstLine="63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gramStart"/>
      <w:r>
        <w:rPr>
          <w:rFonts w:hint="eastAsia"/>
        </w:rPr>
        <w:t>关仓规则</w:t>
      </w:r>
      <w:proofErr w:type="gramEnd"/>
      <w:r>
        <w:rPr>
          <w:rFonts w:hint="eastAsia"/>
        </w:rPr>
        <w:t>：1、股票y的标准化价格</w:t>
      </w:r>
      <w:r w:rsidR="00221A39">
        <w:rPr>
          <w:rFonts w:hint="eastAsia"/>
        </w:rPr>
        <w:t>触及其</w:t>
      </w:r>
      <w:r w:rsidR="00221A39">
        <w:rPr>
          <w:rFonts w:ascii="Arial" w:hAnsi="Arial" w:cs="Arial"/>
          <w:color w:val="333333"/>
          <w:sz w:val="20"/>
          <w:szCs w:val="20"/>
          <w:shd w:val="clear" w:color="auto" w:fill="FFFFFF"/>
        </w:rPr>
        <w:t>Bollinger Band</w:t>
      </w:r>
      <w:r w:rsidR="00221A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的对应的上（下）</w:t>
      </w:r>
      <w:proofErr w:type="gramStart"/>
      <w:r w:rsidR="00221A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限时关仓</w:t>
      </w:r>
      <w:proofErr w:type="gramEnd"/>
      <w:r w:rsidR="00221A39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21A39" w:rsidRDefault="00221A39" w:rsidP="00797577">
      <w:pPr>
        <w:ind w:firstLineChars="300" w:firstLine="6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 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、持有时间超过滞后</w:t>
      </w:r>
      <w:r w:rsidRPr="00EC303C">
        <w:rPr>
          <w:rFonts w:ascii="Arial" w:hAnsi="Arial" w:cs="Arial"/>
          <w:color w:val="333333"/>
          <w:position w:val="-6"/>
          <w:sz w:val="20"/>
          <w:szCs w:val="20"/>
          <w:shd w:val="clear" w:color="auto" w:fill="FFFFFF"/>
        </w:rPr>
        <w:object w:dxaOrig="160" w:dyaOrig="320">
          <v:shape id="_x0000_i1033" type="#_x0000_t75" style="width:7.9pt;height:15.75pt" o:ole="">
            <v:imagedata r:id="rId21" o:title=""/>
          </v:shape>
          <o:OLEObject Type="Embed" ProgID="Equation.DSMT4" ShapeID="_x0000_i1033" DrawAspect="Content" ObjectID="_1689022792" r:id="rId22"/>
        </w:objec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9.5%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置信区间</w:t>
      </w:r>
    </w:p>
    <w:p w:rsidR="00221A39" w:rsidRDefault="00221A39" w:rsidP="00797577">
      <w:pPr>
        <w:ind w:firstLineChars="300" w:firstLine="600"/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3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、交易期结束或者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pairs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中有一个退市了，关仓</w:t>
      </w:r>
    </w:p>
    <w:p w:rsidR="00911F6B" w:rsidRDefault="00911F6B" w:rsidP="00173863">
      <w:pPr>
        <w:ind w:firstLineChars="300" w:firstLine="630"/>
      </w:pPr>
    </w:p>
    <w:p w:rsidR="00911F6B" w:rsidRPr="00911F6B" w:rsidRDefault="00911F6B" w:rsidP="00173863">
      <w:pPr>
        <w:ind w:firstLineChars="300" w:firstLine="630"/>
      </w:pPr>
      <w:r w:rsidRPr="00221A39">
        <w:rPr>
          <w:rFonts w:hint="eastAsia"/>
          <w:color w:val="FF0000"/>
        </w:rPr>
        <w:t>老师，我想继续做这个</w:t>
      </w:r>
      <w:r>
        <w:rPr>
          <w:rFonts w:hint="eastAsia"/>
        </w:rPr>
        <w:t>。</w:t>
      </w:r>
    </w:p>
    <w:sectPr w:rsidR="00911F6B" w:rsidRPr="009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93"/>
    <w:rsid w:val="00090C3C"/>
    <w:rsid w:val="00173863"/>
    <w:rsid w:val="001F3693"/>
    <w:rsid w:val="00221A39"/>
    <w:rsid w:val="004E2763"/>
    <w:rsid w:val="00571FE4"/>
    <w:rsid w:val="00797577"/>
    <w:rsid w:val="00854197"/>
    <w:rsid w:val="00911F6B"/>
    <w:rsid w:val="00D303B2"/>
    <w:rsid w:val="00EC303C"/>
    <w:rsid w:val="00FB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6368"/>
  <w15:chartTrackingRefBased/>
  <w15:docId w15:val="{33B26FF2-6CF5-4208-9C3B-D9C70829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2021-07-28T07:42:00Z</dcterms:created>
  <dcterms:modified xsi:type="dcterms:W3CDTF">2021-07-28T16:13:00Z</dcterms:modified>
</cp:coreProperties>
</file>