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780AA">
      <w:pPr>
        <w:ind w:left="0" w:leftChars="0" w:firstLine="0" w:firstLineChars="0"/>
        <w:jc w:val="center"/>
        <w:rPr>
          <w:rFonts w:hint="eastAsia" w:eastAsia="黑体" w:asciiTheme="minorAscii" w:hAnsiTheme="minorAscii"/>
          <w:b/>
          <w:bCs/>
          <w:sz w:val="72"/>
          <w:szCs w:val="96"/>
          <w:lang w:val="en-US" w:eastAsia="zh-CN"/>
        </w:rPr>
      </w:pPr>
      <w:bookmarkStart w:id="78" w:name="_GoBack"/>
      <w:r>
        <w:rPr>
          <w:rFonts w:hint="default" w:eastAsia="黑体" w:asciiTheme="minorAscii" w:hAnsiTheme="minorAscii"/>
          <w:b/>
          <w:bCs/>
          <w:sz w:val="72"/>
          <w:szCs w:val="96"/>
          <w:lang w:val="en-US" w:eastAsia="zh-CN"/>
        </w:rPr>
        <w:t>AI 视觉引导+SLAM 导航的全自主分拣搬运机器人</w:t>
      </w:r>
    </w:p>
    <w:bookmarkEnd w:id="78"/>
    <w:p w14:paraId="68EAC29D">
      <w:pPr>
        <w:jc w:val="center"/>
        <w:rPr>
          <w:rFonts w:hint="eastAsia" w:eastAsia="黑体" w:asciiTheme="minorAscii" w:hAnsiTheme="minorAscii"/>
          <w:sz w:val="72"/>
          <w:szCs w:val="96"/>
          <w:lang w:val="en-US" w:eastAsia="zh-CN"/>
        </w:rPr>
      </w:pPr>
      <w:r>
        <w:rPr>
          <w:rFonts w:hint="eastAsia" w:eastAsia="黑体" w:asciiTheme="minorAscii" w:hAnsiTheme="minorAscii"/>
          <w:sz w:val="72"/>
          <w:szCs w:val="96"/>
          <w:lang w:val="en-US" w:eastAsia="zh-CN"/>
        </w:rPr>
        <w:t xml:space="preserve"> </w:t>
      </w:r>
    </w:p>
    <w:p w14:paraId="58B2DA1E">
      <w:pPr>
        <w:jc w:val="center"/>
        <w:rPr>
          <w:rFonts w:hint="default" w:eastAsia="黑体" w:asciiTheme="minorAscii" w:hAnsiTheme="minorAscii"/>
          <w:sz w:val="72"/>
          <w:szCs w:val="96"/>
          <w:lang w:val="en-US" w:eastAsia="zh-CN"/>
        </w:rPr>
      </w:pPr>
    </w:p>
    <w:p w14:paraId="62AF6F73">
      <w:pPr>
        <w:jc w:val="center"/>
        <w:rPr>
          <w:rFonts w:hint="eastAsia" w:eastAsia="黑体" w:asciiTheme="minorAscii" w:hAnsiTheme="minorAscii"/>
          <w:sz w:val="72"/>
          <w:szCs w:val="96"/>
          <w:lang w:val="en-US" w:eastAsia="zh-CN"/>
        </w:rPr>
      </w:pPr>
    </w:p>
    <w:p w14:paraId="6E6761C7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商</w:t>
      </w:r>
    </w:p>
    <w:p w14:paraId="6D5EDC57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业</w:t>
      </w:r>
    </w:p>
    <w:p w14:paraId="45FE6AEF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策</w:t>
      </w:r>
    </w:p>
    <w:p w14:paraId="3E47F05B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划</w:t>
      </w:r>
    </w:p>
    <w:p w14:paraId="7132E456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书</w:t>
      </w:r>
    </w:p>
    <w:p w14:paraId="69BE3B15">
      <w:pPr>
        <w:bidi w:val="0"/>
        <w:ind w:left="0" w:leftChars="0" w:firstLine="0" w:firstLineChars="0"/>
        <w:rPr>
          <w:lang w:val="en-US" w:eastAsia="zh-CN"/>
        </w:rPr>
      </w:pPr>
    </w:p>
    <w:p w14:paraId="0DD3B2D7">
      <w:pPr>
        <w:ind w:firstLine="420" w:firstLineChars="0"/>
        <w:jc w:val="center"/>
        <w:rPr>
          <w:rFonts w:hint="default" w:eastAsia="黑体" w:asciiTheme="minorAscii" w:hAnsiTheme="minorAscii"/>
          <w:sz w:val="72"/>
          <w:szCs w:val="9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191E7E4">
      <w:pPr>
        <w:keepNext w:val="0"/>
        <w:keepLines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outlineLvl w:val="9"/>
        <w:rPr>
          <w:rFonts w:hint="default" w:ascii="Segoe UI" w:hAnsi="Segoe UI" w:eastAsia="黑体" w:cs="Segoe UI"/>
          <w:b/>
          <w:bCs/>
          <w:i w:val="0"/>
          <w:iCs w:val="0"/>
          <w:caps w:val="0"/>
          <w:color w:val="000000"/>
          <w:spacing w:val="0"/>
          <w:sz w:val="32"/>
          <w:szCs w:val="18"/>
          <w:lang w:val="en-US" w:eastAsia="zh-CN"/>
        </w:rPr>
      </w:pPr>
      <w:bookmarkStart w:id="0" w:name="_Toc31413"/>
      <w:r>
        <w:rPr>
          <w:rFonts w:hint="eastAsia" w:ascii="Segoe UI" w:hAnsi="Segoe UI" w:eastAsia="黑体" w:cs="Segoe UI"/>
          <w:b/>
          <w:bCs/>
          <w:i w:val="0"/>
          <w:iCs w:val="0"/>
          <w:caps w:val="0"/>
          <w:color w:val="000000"/>
          <w:spacing w:val="0"/>
          <w:sz w:val="32"/>
          <w:szCs w:val="18"/>
          <w:lang w:val="en-US" w:eastAsia="zh-CN"/>
        </w:rPr>
        <w:t>摘要</w:t>
      </w:r>
      <w:bookmarkEnd w:id="0"/>
    </w:p>
    <w:p w14:paraId="3AF37C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本项目推出 “AI 视觉引导 + SLAM 导航” 全自主分拣搬运机器人，以树莓派 5 与 STM32 双核心为硬件基础，融合两大核心技术，适配工业仓储、智能物流等场景，破解传统设备依赖人工、效率低、适配弱的痛点。产品搭载高精度激光雷达、3D 深度相机等部件，0.1-13.4 米内精准识别导航，分拣准确率超 95%，日均处理货物超 2000 件。</w:t>
      </w:r>
    </w:p>
    <w:p w14:paraId="0553C0A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</w:t>
      </w:r>
      <w:r>
        <w:rPr>
          <w:rFonts w:hint="default"/>
          <w:b/>
          <w:bCs/>
          <w:lang w:val="en-US" w:eastAsia="zh-CN"/>
        </w:rPr>
        <w:t>创新</w:t>
      </w:r>
      <w:r>
        <w:rPr>
          <w:rFonts w:hint="default"/>
          <w:lang w:val="en-US" w:eastAsia="zh-CN"/>
        </w:rPr>
        <w:t>为 AI 视觉与 SLAM 导航深度融合，具备动态感知、实时避障等能力，且采用低功耗环保设计，年减碳超 8kg。商业模式为 “硬件销售 + 软件订阅 + 运维服务” 三位一体，聚焦中小制造企业等客户，契合工业自动化与绿色低碳趋势，技术壁垒显著，市场潜力广阔。</w:t>
      </w:r>
    </w:p>
    <w:p w14:paraId="4B1C0DCD">
      <w:pPr>
        <w:pStyle w:val="2"/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bookmarkStart w:id="1" w:name="_Toc22570"/>
      <w:r>
        <w:rPr>
          <w:rFonts w:hint="default"/>
          <w:lang w:val="en-US" w:eastAsia="zh-CN"/>
        </w:rPr>
        <w:t>核心功能</w:t>
      </w:r>
      <w:bookmarkEnd w:id="1"/>
    </w:p>
    <w:p w14:paraId="3E6AE08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该机器人以 “AI 视觉引导 + SLAM 导航” 技术融合为核心，适配工业仓储、智能物流等多场景，核心功能如下：</w:t>
      </w:r>
    </w:p>
    <w:p w14:paraId="7933ECF1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（1）</w:t>
      </w:r>
      <w:r>
        <w:rPr>
          <w:rFonts w:hint="default"/>
          <w:b/>
          <w:bCs/>
          <w:lang w:val="en-US" w:eastAsia="zh-CN"/>
        </w:rPr>
        <w:t>全自主分拣搬运</w:t>
      </w:r>
      <w:r>
        <w:rPr>
          <w:rFonts w:hint="default"/>
          <w:lang w:val="en-US" w:eastAsia="zh-CN"/>
        </w:rPr>
        <w:t>：实现 “识别 - 规划 - 移动 - 抓取 - 摆放” 全流程无人干预，单流程≤10 秒，日均分拣超 2000 件，高效替代人工。</w:t>
      </w:r>
    </w:p>
    <w:p w14:paraId="7619F158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（2）</w:t>
      </w:r>
      <w:r>
        <w:rPr>
          <w:rFonts w:hint="default"/>
          <w:b/>
          <w:bCs/>
          <w:lang w:val="en-US" w:eastAsia="zh-CN"/>
        </w:rPr>
        <w:t>AI 精准识别</w:t>
      </w:r>
      <w:r>
        <w:rPr>
          <w:rFonts w:hint="default"/>
          <w:lang w:val="en-US" w:eastAsia="zh-CN"/>
        </w:rPr>
        <w:t>：融合双相机数据与 YOLOv8 模型，支持 50 + 种货物识别，适配 3-30cm 多尺寸、多 SKU 货物，分拣准确率≥95%（实测 96.8%）。</w:t>
      </w:r>
    </w:p>
    <w:p w14:paraId="617939C6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（3）</w:t>
      </w:r>
      <w:r>
        <w:rPr>
          <w:rFonts w:hint="default"/>
          <w:b/>
          <w:bCs/>
          <w:lang w:val="en-US" w:eastAsia="zh-CN"/>
        </w:rPr>
        <w:t>SLAM 导航与避障</w:t>
      </w:r>
      <w:r>
        <w:rPr>
          <w:rFonts w:hint="default"/>
          <w:lang w:val="en-US" w:eastAsia="zh-CN"/>
        </w:rPr>
        <w:t>：搭载 MS200 激光雷达，定位误差≤5cm，动态避障响应≤0.3 秒，360° 环境感知适配复杂场景。</w:t>
      </w:r>
    </w:p>
    <w:p w14:paraId="55E2C72B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（4）</w:t>
      </w:r>
      <w:r>
        <w:rPr>
          <w:rFonts w:hint="default"/>
          <w:b/>
          <w:bCs/>
          <w:lang w:val="en-US" w:eastAsia="zh-CN"/>
        </w:rPr>
        <w:t>多场景适配</w:t>
      </w:r>
      <w:r>
        <w:rPr>
          <w:rFonts w:hint="default"/>
          <w:lang w:val="en-US" w:eastAsia="zh-CN"/>
        </w:rPr>
        <w:t>：无需复杂调试即可切换仓储、车间等场景，适配狭窄通道、不平地面，应对碎片化订单与峰值压力。</w:t>
      </w:r>
    </w:p>
    <w:p w14:paraId="73156527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（5）</w:t>
      </w:r>
      <w:r>
        <w:rPr>
          <w:rFonts w:hint="default"/>
          <w:b/>
          <w:bCs/>
          <w:lang w:val="en-US" w:eastAsia="zh-CN"/>
        </w:rPr>
        <w:t>智能交互辅助</w:t>
      </w:r>
      <w:r>
        <w:rPr>
          <w:rFonts w:hint="default"/>
          <w:lang w:val="en-US" w:eastAsia="zh-CN"/>
        </w:rPr>
        <w:t>：本地 + 云端双大模型部署，支持语音控制（准确率≥90%），提供效率优化建议与故障诊断方案。</w:t>
      </w:r>
    </w:p>
    <w:p w14:paraId="35098E2E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（6）</w:t>
      </w:r>
      <w:r>
        <w:rPr>
          <w:rFonts w:hint="default"/>
          <w:b/>
          <w:bCs/>
          <w:lang w:val="en-US" w:eastAsia="zh-CN"/>
        </w:rPr>
        <w:t>远程监控管理</w:t>
      </w:r>
      <w:r>
        <w:rPr>
          <w:rFonts w:hint="default"/>
          <w:lang w:val="en-US" w:eastAsia="zh-CN"/>
        </w:rPr>
        <w:t>：WiFi+4G 双网络切换，APP 实时监控设备状态与数据，云平台自动生成报表，支持远程指令与 OTA 升级。</w:t>
      </w:r>
    </w:p>
    <w:p w14:paraId="3B77588C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（7）</w:t>
      </w:r>
      <w:r>
        <w:rPr>
          <w:rFonts w:hint="default"/>
          <w:b/>
          <w:bCs/>
          <w:lang w:val="en-US" w:eastAsia="zh-CN"/>
        </w:rPr>
        <w:t>绿色低功耗</w:t>
      </w:r>
      <w:r>
        <w:rPr>
          <w:rFonts w:hint="default"/>
          <w:lang w:val="en-US" w:eastAsia="zh-CN"/>
        </w:rPr>
        <w:t>：12V 锂电池续航≥8 小时，闲置低功耗模式降耗 50%，核心部件可回收利用率 70%，年减碳超 8kg。</w:t>
      </w:r>
    </w:p>
    <w:p w14:paraId="0D0C9888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68061D48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4E5F20C1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34C06957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7B30A5FC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005D39A1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202A2C9A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54107C7F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46342359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272C1A6E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41CEF924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3E70340B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2A2C4509">
      <w:pPr>
        <w:rPr>
          <w:rFonts w:hint="default" w:eastAsia="宋体" w:asciiTheme="minorAscii" w:hAnsiTheme="minorAscii"/>
          <w:sz w:val="24"/>
          <w:lang w:val="en-US" w:eastAsia="zh-CN"/>
        </w:rPr>
      </w:pPr>
    </w:p>
    <w:p w14:paraId="3A74E7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</w:p>
    <w:p w14:paraId="16BD7E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</w:p>
    <w:p w14:paraId="225DD137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bookmarkStart w:id="2" w:name="_Toc1541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125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5197406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</w:p>
        <w:p w14:paraId="03DB4768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_Toc9112 </w:instrText>
          </w:r>
          <w:r>
            <w:fldChar w:fldCharType="separate"/>
          </w:r>
          <w:r>
            <w:rPr>
              <w:rFonts w:hint="eastAsia"/>
            </w:rPr>
            <w:t xml:space="preserve">一、 </w:t>
          </w:r>
          <w:r>
            <w:rPr>
              <w:rFonts w:hint="default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_Toc9112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6FD5534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_Toc15326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1.1 </w:t>
          </w:r>
          <w:r>
            <w:rPr>
              <w:rFonts w:hint="default"/>
              <w:lang w:val="en-US" w:eastAsia="zh-CN"/>
            </w:rPr>
            <w:t>社会需求与行业痛点</w:t>
          </w:r>
          <w:r>
            <w:tab/>
          </w:r>
          <w:r>
            <w:fldChar w:fldCharType="begin"/>
          </w:r>
          <w:r>
            <w:instrText xml:space="preserve"> PAGEREF _Toc15326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94F94A7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_Toc15887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1.2 </w:t>
          </w:r>
          <w:r>
            <w:rPr>
              <w:rFonts w:hint="default"/>
              <w:lang w:val="en-US" w:eastAsia="zh-CN"/>
            </w:rPr>
            <w:t>政策与行业趋势</w:t>
          </w:r>
          <w:r>
            <w:tab/>
          </w:r>
          <w:r>
            <w:fldChar w:fldCharType="begin"/>
          </w:r>
          <w:r>
            <w:instrText xml:space="preserve"> PAGEREF _Toc15887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76E26EB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_Toc26210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1.3 </w:t>
          </w:r>
          <w:r>
            <w:rPr>
              <w:rFonts w:hint="default"/>
              <w:lang w:val="en-US" w:eastAsia="zh-CN"/>
            </w:rPr>
            <w:t>项目核心使命与生态文明价值</w:t>
          </w:r>
          <w:r>
            <w:tab/>
          </w:r>
          <w:r>
            <w:fldChar w:fldCharType="begin"/>
          </w:r>
          <w:r>
            <w:instrText xml:space="preserve"> PAGEREF _Toc26210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E85FB18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_Toc28902 </w:instrText>
          </w:r>
          <w:r>
            <w:fldChar w:fldCharType="separate"/>
          </w:r>
          <w:r>
            <w:rPr>
              <w:rFonts w:hint="eastAsia"/>
            </w:rPr>
            <w:t xml:space="preserve">二、 </w:t>
          </w:r>
          <w:r>
            <w:rPr>
              <w:rFonts w:hint="default"/>
            </w:rPr>
            <w:t>市场分析</w:t>
          </w:r>
          <w:r>
            <w:rPr>
              <w:rFonts w:hint="eastAsia"/>
              <w:lang w:val="en-US" w:eastAsia="zh-CN"/>
            </w:rPr>
            <w:t>与成本核算</w:t>
          </w:r>
          <w:r>
            <w:tab/>
          </w:r>
          <w:r>
            <w:fldChar w:fldCharType="begin"/>
          </w:r>
          <w:r>
            <w:instrText xml:space="preserve"> PAGEREF _Toc28902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810A7BC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_Toc22099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2.1 </w:t>
          </w:r>
          <w:r>
            <w:rPr>
              <w:rFonts w:hint="default"/>
              <w:lang w:val="en-US" w:eastAsia="zh-CN"/>
            </w:rPr>
            <w:t>市场规模与增长潜力</w:t>
          </w:r>
          <w:r>
            <w:tab/>
          </w:r>
          <w:r>
            <w:fldChar w:fldCharType="begin"/>
          </w:r>
          <w:r>
            <w:instrText xml:space="preserve"> PAGEREF _Toc22099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D325B48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_Toc10448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2.2 </w:t>
          </w:r>
          <w:r>
            <w:rPr>
              <w:rFonts w:hint="default"/>
              <w:lang w:val="en-US" w:eastAsia="zh-CN"/>
            </w:rPr>
            <w:t>竞争格局分析</w:t>
          </w:r>
          <w:r>
            <w:tab/>
          </w:r>
          <w:r>
            <w:fldChar w:fldCharType="begin"/>
          </w:r>
          <w:r>
            <w:instrText xml:space="preserve"> PAGEREF _Toc10448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49A8E6E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_Toc13303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2.3 </w:t>
          </w:r>
          <w:r>
            <w:rPr>
              <w:rFonts w:hint="default"/>
              <w:lang w:val="en-US" w:eastAsia="zh-CN"/>
            </w:rPr>
            <w:t>目标市场定位</w:t>
          </w:r>
          <w:r>
            <w:tab/>
          </w:r>
          <w:r>
            <w:fldChar w:fldCharType="begin"/>
          </w:r>
          <w:r>
            <w:instrText xml:space="preserve"> PAGEREF _Toc13303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CAED03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_Toc10713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2.4 </w:t>
          </w:r>
          <w:r>
            <w:rPr>
              <w:rFonts w:hint="default"/>
              <w:lang w:val="en-US" w:eastAsia="zh-CN"/>
            </w:rPr>
            <w:t>成本核算</w:t>
          </w:r>
          <w:r>
            <w:tab/>
          </w:r>
          <w:r>
            <w:fldChar w:fldCharType="begin"/>
          </w:r>
          <w:r>
            <w:instrText xml:space="preserve"> PAGEREF _Toc10713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704343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_Toc25762 </w:instrText>
          </w:r>
          <w:r>
            <w:fldChar w:fldCharType="separate"/>
          </w:r>
          <w:r>
            <w:rPr>
              <w:rFonts w:hint="eastAsia"/>
            </w:rPr>
            <w:t xml:space="preserve">三、 </w:t>
          </w:r>
          <w:r>
            <w:rPr>
              <w:rFonts w:hint="default"/>
            </w:rPr>
            <w:t>产品</w:t>
          </w:r>
          <w:r>
            <w:rPr>
              <w:rFonts w:hint="eastAsia"/>
              <w:lang w:val="en-US" w:eastAsia="zh-CN"/>
            </w:rPr>
            <w:t>介绍</w:t>
          </w:r>
          <w:r>
            <w:tab/>
          </w:r>
          <w:r>
            <w:fldChar w:fldCharType="begin"/>
          </w:r>
          <w:r>
            <w:instrText xml:space="preserve"> PAGEREF _Toc25762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09C7B2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_Toc30634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3.1产品架构设计</w:t>
          </w:r>
          <w:r>
            <w:tab/>
          </w:r>
          <w:r>
            <w:fldChar w:fldCharType="begin"/>
          </w:r>
          <w:r>
            <w:instrText xml:space="preserve"> PAGEREF _Toc30634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90FDA0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_Toc27221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3.2核心</w:t>
          </w:r>
          <w:r>
            <w:rPr>
              <w:rFonts w:hint="default"/>
              <w:lang w:val="en-US" w:eastAsia="zh-CN"/>
            </w:rPr>
            <w:t>硬件</w:t>
          </w:r>
          <w:r>
            <w:rPr>
              <w:rFonts w:hint="eastAsia"/>
              <w:lang w:val="en-US" w:eastAsia="zh-CN"/>
            </w:rPr>
            <w:t>选型</w:t>
          </w:r>
          <w:r>
            <w:tab/>
          </w:r>
          <w:r>
            <w:fldChar w:fldCharType="begin"/>
          </w:r>
          <w:r>
            <w:instrText xml:space="preserve"> PAGEREF _Toc27221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D7EC85D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_Toc27966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3.3</w:t>
          </w:r>
          <w:r>
            <w:rPr>
              <w:rFonts w:hint="default"/>
              <w:lang w:val="en-US" w:eastAsia="zh-CN"/>
            </w:rPr>
            <w:t>硬件电路设计</w:t>
          </w:r>
          <w:r>
            <w:tab/>
          </w:r>
          <w:r>
            <w:fldChar w:fldCharType="begin"/>
          </w:r>
          <w:r>
            <w:instrText xml:space="preserve"> PAGEREF _Toc27966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90FF43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_Toc31027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3.4</w:t>
          </w:r>
          <w:r>
            <w:rPr>
              <w:rFonts w:hint="default"/>
              <w:lang w:val="en-US" w:eastAsia="zh-CN"/>
            </w:rPr>
            <w:t>硬件集成实现</w:t>
          </w:r>
          <w:r>
            <w:tab/>
          </w:r>
          <w:r>
            <w:fldChar w:fldCharType="begin"/>
          </w:r>
          <w:r>
            <w:instrText xml:space="preserve"> PAGEREF _Toc31027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F8DDFC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_Toc26357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3.5</w:t>
          </w:r>
          <w:r>
            <w:rPr>
              <w:rFonts w:hint="default"/>
              <w:lang w:val="en-US" w:eastAsia="zh-CN"/>
            </w:rPr>
            <w:t>主控单元设计</w:t>
          </w:r>
          <w:r>
            <w:tab/>
          </w:r>
          <w:r>
            <w:fldChar w:fldCharType="begin"/>
          </w:r>
          <w:r>
            <w:instrText xml:space="preserve"> PAGEREF _Toc26357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27F4A2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_Toc14785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3.6</w:t>
          </w:r>
          <w:r>
            <w:rPr>
              <w:rFonts w:hint="default"/>
              <w:lang w:val="en-US" w:eastAsia="zh-CN"/>
            </w:rPr>
            <w:t>关键模块详细设计</w:t>
          </w:r>
          <w:r>
            <w:tab/>
          </w:r>
          <w:r>
            <w:fldChar w:fldCharType="begin"/>
          </w:r>
          <w:r>
            <w:instrText xml:space="preserve"> PAGEREF _Toc14785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14170A2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_Toc14936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3.1 </w:t>
          </w:r>
          <w:r>
            <w:rPr>
              <w:rFonts w:hint="default"/>
              <w:lang w:val="en-US" w:eastAsia="zh-CN"/>
            </w:rPr>
            <w:t>配套服务体系</w:t>
          </w:r>
          <w:r>
            <w:tab/>
          </w:r>
          <w:r>
            <w:fldChar w:fldCharType="begin"/>
          </w:r>
          <w:r>
            <w:instrText xml:space="preserve"> PAGEREF _Toc14936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CD1B09C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_Toc9744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四、 </w:t>
          </w:r>
          <w:r>
            <w:rPr>
              <w:rFonts w:hint="default"/>
              <w:lang w:val="en-US" w:eastAsia="zh-CN"/>
            </w:rPr>
            <w:t>系统调试与结果</w:t>
          </w:r>
          <w:r>
            <w:tab/>
          </w:r>
          <w:r>
            <w:fldChar w:fldCharType="begin"/>
          </w:r>
          <w:r>
            <w:instrText xml:space="preserve"> PAGEREF _Toc9744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0A98299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_Toc20768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4.1 </w:t>
          </w:r>
          <w:r>
            <w:rPr>
              <w:rFonts w:hint="default"/>
              <w:lang w:val="en-US" w:eastAsia="zh-CN"/>
            </w:rPr>
            <w:t>系统调试</w:t>
          </w:r>
          <w:r>
            <w:tab/>
          </w:r>
          <w:r>
            <w:fldChar w:fldCharType="begin"/>
          </w:r>
          <w:r>
            <w:instrText xml:space="preserve"> PAGEREF _Toc20768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1A65C6C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_Toc8508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4.2 </w:t>
          </w:r>
          <w:r>
            <w:rPr>
              <w:rFonts w:hint="default"/>
              <w:lang w:val="en-US" w:eastAsia="zh-CN"/>
            </w:rPr>
            <w:t>测试结果</w:t>
          </w:r>
          <w:r>
            <w:tab/>
          </w:r>
          <w:r>
            <w:fldChar w:fldCharType="begin"/>
          </w:r>
          <w:r>
            <w:instrText xml:space="preserve"> PAGEREF _Toc8508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4FD7EFB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_Toc10544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五、 </w:t>
          </w:r>
          <w:r>
            <w:rPr>
              <w:rFonts w:hint="default"/>
              <w:lang w:val="en-US" w:eastAsia="zh-CN"/>
            </w:rPr>
            <w:t>商业模式</w:t>
          </w:r>
          <w:r>
            <w:tab/>
          </w:r>
          <w:r>
            <w:fldChar w:fldCharType="begin"/>
          </w:r>
          <w:r>
            <w:instrText xml:space="preserve"> PAGEREF _Toc10544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57A5C02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_Toc9194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5.1 </w:t>
          </w:r>
          <w:r>
            <w:rPr>
              <w:rFonts w:hint="default"/>
              <w:lang w:val="en-US" w:eastAsia="zh-CN"/>
            </w:rPr>
            <w:t>核心商业模式：“</w:t>
          </w:r>
          <w:r>
            <w:rPr>
              <w:rFonts w:hint="eastAsia"/>
              <w:lang w:val="en-US" w:eastAsia="zh-CN"/>
            </w:rPr>
            <w:t>硬件</w:t>
          </w:r>
          <w:r>
            <w:rPr>
              <w:rFonts w:hint="default"/>
              <w:lang w:val="en-US" w:eastAsia="zh-CN"/>
            </w:rPr>
            <w:t xml:space="preserve"> + </w:t>
          </w:r>
          <w:r>
            <w:rPr>
              <w:rFonts w:hint="eastAsia"/>
              <w:lang w:val="en-US" w:eastAsia="zh-CN"/>
            </w:rPr>
            <w:t>软件</w:t>
          </w:r>
          <w:r>
            <w:rPr>
              <w:rFonts w:hint="default"/>
              <w:lang w:val="en-US" w:eastAsia="zh-CN"/>
            </w:rPr>
            <w:t xml:space="preserve"> + </w:t>
          </w:r>
          <w:r>
            <w:rPr>
              <w:rFonts w:hint="eastAsia"/>
              <w:lang w:val="en-US" w:eastAsia="zh-CN"/>
            </w:rPr>
            <w:t>服务</w:t>
          </w:r>
          <w:r>
            <w:rPr>
              <w:rFonts w:hint="default"/>
              <w:lang w:val="en-US" w:eastAsia="zh-CN"/>
            </w:rPr>
            <w:t>” 三位一体</w:t>
          </w:r>
          <w:r>
            <w:tab/>
          </w:r>
          <w:r>
            <w:fldChar w:fldCharType="begin"/>
          </w:r>
          <w:r>
            <w:instrText xml:space="preserve"> PAGEREF _Toc9194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D9A07B6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_Toc18853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5.2 </w:t>
          </w:r>
          <w:r>
            <w:rPr>
              <w:rFonts w:hint="default"/>
              <w:lang w:val="en-US" w:eastAsia="zh-CN"/>
            </w:rPr>
            <w:t>市场价值</w:t>
          </w:r>
          <w:r>
            <w:rPr>
              <w:rFonts w:hint="eastAsia"/>
              <w:lang w:val="en-US" w:eastAsia="zh-CN"/>
            </w:rPr>
            <w:t>与</w:t>
          </w:r>
          <w:r>
            <w:rPr>
              <w:rFonts w:hint="default"/>
              <w:lang w:val="en-US" w:eastAsia="zh-CN"/>
            </w:rPr>
            <w:t>未来展望</w:t>
          </w:r>
          <w:r>
            <w:tab/>
          </w:r>
          <w:r>
            <w:fldChar w:fldCharType="begin"/>
          </w:r>
          <w:r>
            <w:instrText xml:space="preserve"> PAGEREF _Toc18853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9EEC4E3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_Toc28074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六、 </w:t>
          </w:r>
          <w:r>
            <w:rPr>
              <w:rFonts w:hint="default"/>
              <w:lang w:val="en-US" w:eastAsia="zh-CN"/>
            </w:rPr>
            <w:t>公司发展战略</w:t>
          </w:r>
          <w:r>
            <w:tab/>
          </w:r>
          <w:r>
            <w:fldChar w:fldCharType="begin"/>
          </w:r>
          <w:r>
            <w:instrText xml:space="preserve"> PAGEREF _Toc28074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E56CE1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_Toc32045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6.1 </w:t>
          </w:r>
          <w:r>
            <w:rPr>
              <w:rFonts w:hint="default"/>
              <w:lang w:val="en-US" w:eastAsia="zh-CN"/>
            </w:rPr>
            <w:t>战略核心目标</w:t>
          </w:r>
          <w:r>
            <w:tab/>
          </w:r>
          <w:r>
            <w:fldChar w:fldCharType="begin"/>
          </w:r>
          <w:r>
            <w:instrText xml:space="preserve"> PAGEREF _Toc32045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F34B0C3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_Toc27233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6.2 </w:t>
          </w:r>
          <w:r>
            <w:rPr>
              <w:rFonts w:hint="default"/>
              <w:lang w:val="en-US" w:eastAsia="zh-CN"/>
            </w:rPr>
            <w:t>阶段性发展战略</w:t>
          </w:r>
          <w:r>
            <w:tab/>
          </w:r>
          <w:r>
            <w:fldChar w:fldCharType="begin"/>
          </w:r>
          <w:r>
            <w:instrText xml:space="preserve"> PAGEREF _Toc27233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17D3F37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_Toc25660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6.3 </w:t>
          </w:r>
          <w:r>
            <w:rPr>
              <w:rFonts w:hint="default"/>
              <w:lang w:val="en-US" w:eastAsia="zh-CN"/>
            </w:rPr>
            <w:t>核心战略支撑</w:t>
          </w:r>
          <w:r>
            <w:tab/>
          </w:r>
          <w:r>
            <w:fldChar w:fldCharType="begin"/>
          </w:r>
          <w:r>
            <w:instrText xml:space="preserve"> PAGEREF _Toc25660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87480A0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_Toc13363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七、 </w:t>
          </w:r>
          <w:r>
            <w:rPr>
              <w:rFonts w:hint="default"/>
              <w:lang w:val="en-US" w:eastAsia="zh-CN"/>
            </w:rPr>
            <w:t>财务分析</w:t>
          </w:r>
          <w:r>
            <w:tab/>
          </w:r>
          <w:r>
            <w:fldChar w:fldCharType="begin"/>
          </w:r>
          <w:r>
            <w:instrText xml:space="preserve"> PAGEREF _Toc13363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7635D60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_Toc17892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7.1 </w:t>
          </w:r>
          <w:r>
            <w:rPr>
              <w:rFonts w:hint="default"/>
              <w:lang w:val="en-US" w:eastAsia="zh-CN"/>
            </w:rPr>
            <w:t>财务假设</w:t>
          </w:r>
          <w:r>
            <w:tab/>
          </w:r>
          <w:r>
            <w:fldChar w:fldCharType="begin"/>
          </w:r>
          <w:r>
            <w:instrText xml:space="preserve"> PAGEREF _Toc17892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9727324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_Toc7552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7.2 </w:t>
          </w:r>
          <w:r>
            <w:rPr>
              <w:rFonts w:hint="default"/>
              <w:lang w:val="en-US" w:eastAsia="zh-CN"/>
            </w:rPr>
            <w:t>核心财务数据</w:t>
          </w:r>
          <w:r>
            <w:tab/>
          </w:r>
          <w:r>
            <w:fldChar w:fldCharType="begin"/>
          </w:r>
          <w:r>
            <w:instrText xml:space="preserve"> PAGEREF _Toc7552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680F7F0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_Toc31824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7.3 </w:t>
          </w:r>
          <w:r>
            <w:rPr>
              <w:rFonts w:hint="default"/>
              <w:lang w:val="en-US" w:eastAsia="zh-CN"/>
            </w:rPr>
            <w:t>盈利能力与风险应对</w:t>
          </w:r>
          <w:r>
            <w:tab/>
          </w:r>
          <w:r>
            <w:fldChar w:fldCharType="begin"/>
          </w:r>
          <w:r>
            <w:instrText xml:space="preserve"> PAGEREF _Toc31824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57439B65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_Toc19434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八、 </w:t>
          </w:r>
          <w:r>
            <w:rPr>
              <w:rFonts w:hint="default"/>
              <w:lang w:val="en-US" w:eastAsia="zh-CN"/>
            </w:rPr>
            <w:t>风险防范</w:t>
          </w:r>
          <w:r>
            <w:tab/>
          </w:r>
          <w:r>
            <w:fldChar w:fldCharType="begin"/>
          </w:r>
          <w:r>
            <w:instrText xml:space="preserve"> PAGEREF _Toc19434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BC095C3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_Toc561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8.1 </w:t>
          </w:r>
          <w:r>
            <w:rPr>
              <w:rFonts w:hint="default"/>
              <w:lang w:val="en-US" w:eastAsia="zh-CN"/>
            </w:rPr>
            <w:t>技术风险</w:t>
          </w:r>
          <w:r>
            <w:tab/>
          </w:r>
          <w:r>
            <w:fldChar w:fldCharType="begin"/>
          </w:r>
          <w:r>
            <w:instrText xml:space="preserve"> PAGEREF _Toc561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38A5A69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_Toc29831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8.2 </w:t>
          </w:r>
          <w:r>
            <w:rPr>
              <w:rFonts w:hint="default"/>
              <w:lang w:val="en-US" w:eastAsia="zh-CN"/>
            </w:rPr>
            <w:t>市场风险</w:t>
          </w:r>
          <w:r>
            <w:tab/>
          </w:r>
          <w:r>
            <w:fldChar w:fldCharType="begin"/>
          </w:r>
          <w:r>
            <w:instrText xml:space="preserve"> PAGEREF _Toc29831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BF062AE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_Toc4271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8.3 </w:t>
          </w:r>
          <w:r>
            <w:rPr>
              <w:rFonts w:hint="default"/>
              <w:lang w:val="en-US" w:eastAsia="zh-CN"/>
            </w:rPr>
            <w:t>供应链风险</w:t>
          </w:r>
          <w:r>
            <w:tab/>
          </w:r>
          <w:r>
            <w:fldChar w:fldCharType="begin"/>
          </w:r>
          <w:r>
            <w:instrText xml:space="preserve"> PAGEREF _Toc4271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CDA170D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_Toc2732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8.4 </w:t>
          </w:r>
          <w:r>
            <w:rPr>
              <w:rFonts w:hint="default"/>
              <w:lang w:val="en-US" w:eastAsia="zh-CN"/>
            </w:rPr>
            <w:t>运营风险</w:t>
          </w:r>
          <w:r>
            <w:tab/>
          </w:r>
          <w:r>
            <w:fldChar w:fldCharType="begin"/>
          </w:r>
          <w:r>
            <w:instrText xml:space="preserve"> PAGEREF _Toc2732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C22113E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_Toc31111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8.5 </w:t>
          </w:r>
          <w:r>
            <w:rPr>
              <w:rFonts w:hint="default"/>
              <w:lang w:val="en-US" w:eastAsia="zh-CN"/>
            </w:rPr>
            <w:t>政策与合规风险</w:t>
          </w:r>
          <w:r>
            <w:tab/>
          </w:r>
          <w:r>
            <w:fldChar w:fldCharType="begin"/>
          </w:r>
          <w:r>
            <w:instrText xml:space="preserve"> PAGEREF _Toc31111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789A6A6">
          <w:pPr>
            <w:pStyle w:val="10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_Toc32238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九、 </w:t>
          </w:r>
          <w:r>
            <w:rPr>
              <w:rFonts w:hint="default"/>
              <w:lang w:val="en-US" w:eastAsia="zh-CN"/>
            </w:rPr>
            <w:t>资本退出</w:t>
          </w:r>
          <w:r>
            <w:tab/>
          </w:r>
          <w:r>
            <w:fldChar w:fldCharType="begin"/>
          </w:r>
          <w:r>
            <w:instrText xml:space="preserve"> PAGEREF _Toc32238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FF17910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_Toc1925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9.1 </w:t>
          </w:r>
          <w:r>
            <w:rPr>
              <w:rFonts w:hint="default"/>
              <w:lang w:val="en-US" w:eastAsia="zh-CN"/>
            </w:rPr>
            <w:t>退出原则</w:t>
          </w:r>
          <w:r>
            <w:tab/>
          </w:r>
          <w:r>
            <w:fldChar w:fldCharType="begin"/>
          </w:r>
          <w:r>
            <w:instrText xml:space="preserve"> PAGEREF _Toc1925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3BABE59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_Toc18763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9.2 </w:t>
          </w:r>
          <w:r>
            <w:rPr>
              <w:rFonts w:hint="default"/>
              <w:lang w:val="en-US" w:eastAsia="zh-CN"/>
            </w:rPr>
            <w:t>退出方式</w:t>
          </w:r>
          <w:r>
            <w:tab/>
          </w:r>
          <w:r>
            <w:fldChar w:fldCharType="begin"/>
          </w:r>
          <w:r>
            <w:instrText xml:space="preserve"> PAGEREF _Toc18763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B035639">
          <w:pPr>
            <w:pStyle w:val="12"/>
            <w:tabs>
              <w:tab w:val="right" w:leader="hyphen" w:pos="8306"/>
            </w:tabs>
          </w:pPr>
          <w:r>
            <w:fldChar w:fldCharType="begin"/>
          </w:r>
          <w:r>
            <w:instrText xml:space="preserve"> HYPERLINK \l _Toc16260 </w:instrText>
          </w:r>
          <w:r>
            <w:fldChar w:fldCharType="separate"/>
          </w:r>
          <w:r>
            <w:rPr>
              <w:rFonts w:hint="default" w:ascii="黑体" w:hAnsi="黑体" w:eastAsia="黑体" w:cs="黑体"/>
              <w:lang w:val="en-US" w:eastAsia="zh-CN"/>
            </w:rPr>
            <w:t xml:space="preserve">9.3 </w:t>
          </w:r>
          <w:r>
            <w:rPr>
              <w:rFonts w:hint="default"/>
              <w:lang w:val="en-US" w:eastAsia="zh-CN"/>
            </w:rPr>
            <w:t>退出保障</w:t>
          </w:r>
          <w:r>
            <w:tab/>
          </w:r>
          <w:r>
            <w:fldChar w:fldCharType="begin"/>
          </w:r>
          <w:r>
            <w:instrText xml:space="preserve"> PAGEREF _Toc16260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A75D628">
          <w:pPr>
            <w:sectPr>
              <w:footerReference r:id="rId6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012BA9D4">
      <w:pPr>
        <w:pStyle w:val="2"/>
        <w:numPr>
          <w:ilvl w:val="0"/>
          <w:numId w:val="0"/>
        </w:numPr>
        <w:bidi w:val="0"/>
        <w:ind w:leftChars="0"/>
        <w:rPr>
          <w:rFonts w:hint="default"/>
        </w:rPr>
      </w:pPr>
      <w:bookmarkStart w:id="3" w:name="_Toc9112"/>
      <w:r>
        <w:rPr>
          <w:rFonts w:hint="eastAsia"/>
          <w:lang w:val="en-US" w:eastAsia="zh-CN"/>
        </w:rPr>
        <w:t>一、</w:t>
      </w:r>
      <w:r>
        <w:rPr>
          <w:rFonts w:hint="default"/>
        </w:rPr>
        <w:t>项目背景</w:t>
      </w:r>
      <w:bookmarkEnd w:id="2"/>
      <w:bookmarkEnd w:id="3"/>
    </w:p>
    <w:p w14:paraId="2786A640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4" w:name="_Toc22068"/>
      <w:bookmarkStart w:id="5" w:name="_Toc15326"/>
      <w:r>
        <w:rPr>
          <w:rFonts w:hint="default"/>
          <w:lang w:val="en-US" w:eastAsia="zh-CN"/>
        </w:rPr>
        <w:t>社会需求与行业痛点</w:t>
      </w:r>
      <w:bookmarkEnd w:id="4"/>
      <w:bookmarkEnd w:id="5"/>
    </w:p>
    <w:p w14:paraId="613FF65E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核心需求缺口</w:t>
      </w:r>
    </w:p>
    <w:p w14:paraId="40D638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工业仓储领域，传统分拣搬运依赖人工或半自动化设备，人力成本占比超 30%，且效率低下，日均人均分拣量不足800件。物流配送环节，货物SKU繁多、包装形态各异，现有设备识别精度低，难以满足柔性分拣需求。电商仓储场景，订单碎片化特征明显，峰值期分拣压力大，设备响应速度与动态适配能力不足，导致配送延误</w:t>
      </w:r>
      <w:r>
        <w:rPr>
          <w:rFonts w:hint="eastAsia" w:eastAsia="宋体" w:asciiTheme="minorAscii" w:hAnsiTheme="minorAscii"/>
          <w:sz w:val="24"/>
          <w:lang w:val="en-US"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影响客户体验</w:t>
      </w:r>
    </w:p>
    <w:p w14:paraId="6AFCAB6E">
      <w:pPr>
        <w:pStyle w:val="4"/>
        <w:numPr>
          <w:ilvl w:val="0"/>
          <w:numId w:val="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行业现存痛点</w:t>
      </w:r>
    </w:p>
    <w:p w14:paraId="1ABCE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传统设备功能单一，多为固定路径搬运或单一类型货物分拣，场景适配性差，无法应对复杂仓储环境。技术融合不足，视觉识别与导航系统脱节，存在定位偏差大、避障不及时等问题。绿色属性缺失，高能耗设备普及，碳排放密集，不符合工业绿色转型要求。操作门槛高，需要专业人员调试维护，中小微企业难以负担。</w:t>
      </w:r>
    </w:p>
    <w:p w14:paraId="6FC4B373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" w:name="_Toc21140"/>
      <w:bookmarkStart w:id="7" w:name="_Toc15887"/>
      <w:r>
        <w:rPr>
          <w:rFonts w:hint="default"/>
          <w:lang w:val="en-US" w:eastAsia="zh-CN"/>
        </w:rPr>
        <w:t>政策与行业趋势</w:t>
      </w:r>
      <w:bookmarkEnd w:id="6"/>
      <w:bookmarkEnd w:id="7"/>
    </w:p>
    <w:p w14:paraId="2D18C150">
      <w:pPr>
        <w:pStyle w:val="4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政策支持导向</w:t>
      </w:r>
    </w:p>
    <w:p w14:paraId="5E090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国家层面，《</w:t>
      </w:r>
      <w:r>
        <w:rPr>
          <w:rFonts w:hint="eastAsia" w:eastAsia="宋体" w:asciiTheme="minorAscii" w:hAnsiTheme="minorAscii"/>
          <w:sz w:val="24"/>
          <w:lang w:val="en-US" w:eastAsia="zh-CN"/>
        </w:rPr>
        <w:t>“</w:t>
      </w:r>
      <w:r>
        <w:rPr>
          <w:rFonts w:hint="default" w:eastAsia="宋体" w:asciiTheme="minorAscii" w:hAnsiTheme="minorAscii"/>
          <w:sz w:val="24"/>
          <w:lang w:val="en-US" w:eastAsia="zh-CN"/>
        </w:rPr>
        <w:t>十四五</w:t>
      </w:r>
      <w:r>
        <w:rPr>
          <w:rFonts w:hint="eastAsia" w:eastAsia="宋体" w:asciiTheme="minorAscii" w:hAnsiTheme="minorAscii"/>
          <w:sz w:val="24"/>
          <w:lang w:val="en-US" w:eastAsia="zh-CN"/>
        </w:rPr>
        <w:t>”</w:t>
      </w:r>
      <w:r>
        <w:rPr>
          <w:rFonts w:hint="default" w:eastAsia="宋体" w:asciiTheme="minorAscii" w:hAnsiTheme="minorAscii"/>
          <w:sz w:val="24"/>
          <w:lang w:val="en-US" w:eastAsia="zh-CN"/>
        </w:rPr>
        <w:t>智能制造发展规划》明确提出推广智能分拣、自主搬运等核心装备，支持工业机器人智能化升级；《</w:t>
      </w:r>
      <w:r>
        <w:rPr>
          <w:rFonts w:hint="eastAsia" w:eastAsia="宋体" w:asciiTheme="minorAscii" w:hAnsiTheme="minorAscii"/>
          <w:sz w:val="24"/>
          <w:lang w:val="en-US" w:eastAsia="zh-CN"/>
        </w:rPr>
        <w:t>“</w:t>
      </w:r>
      <w:r>
        <w:rPr>
          <w:rFonts w:hint="default" w:eastAsia="宋体" w:asciiTheme="minorAscii" w:hAnsiTheme="minorAscii"/>
          <w:sz w:val="24"/>
          <w:lang w:val="en-US" w:eastAsia="zh-CN"/>
        </w:rPr>
        <w:t>十四五</w:t>
      </w:r>
      <w:r>
        <w:rPr>
          <w:rFonts w:hint="eastAsia" w:eastAsia="宋体" w:asciiTheme="minorAscii" w:hAnsiTheme="minorAscii"/>
          <w:sz w:val="24"/>
          <w:lang w:val="en-US" w:eastAsia="zh-CN"/>
        </w:rPr>
        <w:t>”</w:t>
      </w:r>
      <w:r>
        <w:rPr>
          <w:rFonts w:hint="default" w:eastAsia="宋体" w:asciiTheme="minorAscii" w:hAnsiTheme="minorAscii"/>
          <w:sz w:val="24"/>
          <w:lang w:val="en-US" w:eastAsia="zh-CN"/>
        </w:rPr>
        <w:t>工业绿色发展规划》强调推动工业装备低碳化改造，为绿色智能装备提供政策背书。</w:t>
      </w:r>
    </w:p>
    <w:p w14:paraId="6543ED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地方层面，多地政府对智能仓储设备采购给予10%-20%补贴，鼓励企业进行自动化、绿色化转型。</w:t>
      </w:r>
    </w:p>
    <w:p w14:paraId="30C5F6C3">
      <w:pPr>
        <w:pStyle w:val="4"/>
        <w:numPr>
          <w:ilvl w:val="0"/>
          <w:numId w:val="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行业发展趋势</w:t>
      </w:r>
    </w:p>
    <w:p w14:paraId="11D34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智能仓储机器人市场年增长率超30%，预计2026年市场规模突破800亿元，其中AI视觉与SLAM导航融合类产品增速领先。工业自动化向柔性化、智能化转型，全自主、多场景适配成为核心需求。绿色低碳成为工业装备核心竞争力，低功耗、可回收、节能算法成为产品创新关键方向。</w:t>
      </w:r>
    </w:p>
    <w:p w14:paraId="1E66A0F8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8" w:name="_Toc26210"/>
      <w:bookmarkStart w:id="9" w:name="_Toc3696"/>
      <w:r>
        <w:rPr>
          <w:rFonts w:hint="default"/>
          <w:lang w:val="en-US" w:eastAsia="zh-CN"/>
        </w:rPr>
        <w:t>项目核心使命与生态文明价值</w:t>
      </w:r>
      <w:bookmarkEnd w:id="8"/>
      <w:bookmarkEnd w:id="9"/>
    </w:p>
    <w:p w14:paraId="0905D3FB">
      <w:pPr>
        <w:pStyle w:val="4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核心使命</w:t>
      </w:r>
    </w:p>
    <w:p w14:paraId="097254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以</w:t>
      </w:r>
      <w:r>
        <w:rPr>
          <w:rFonts w:hint="eastAsia" w:eastAsia="宋体" w:asciiTheme="minorAscii" w:hAnsiTheme="minorAscii"/>
          <w:sz w:val="24"/>
          <w:lang w:val="en-US" w:eastAsia="zh-CN"/>
        </w:rPr>
        <w:t>“</w:t>
      </w:r>
      <w:r>
        <w:rPr>
          <w:rFonts w:hint="default" w:eastAsia="宋体" w:asciiTheme="minorAscii" w:hAnsiTheme="minorAscii"/>
          <w:sz w:val="24"/>
          <w:lang w:val="en-US" w:eastAsia="zh-CN"/>
        </w:rPr>
        <w:t>AI 赋能 + 绿色高效</w:t>
      </w:r>
      <w:r>
        <w:rPr>
          <w:rFonts w:hint="eastAsia" w:eastAsia="宋体" w:asciiTheme="minorAscii" w:hAnsiTheme="minorAscii"/>
          <w:sz w:val="24"/>
          <w:lang w:val="en-US" w:eastAsia="zh-CN"/>
        </w:rPr>
        <w:t>”</w:t>
      </w:r>
      <w:r>
        <w:rPr>
          <w:rFonts w:hint="default" w:eastAsia="宋体" w:asciiTheme="minorAscii" w:hAnsiTheme="minorAscii"/>
          <w:sz w:val="24"/>
          <w:lang w:val="en-US" w:eastAsia="zh-CN"/>
        </w:rPr>
        <w:t>为双核心，研发集自主识别、精准导航、智能分拣、高效搬运于一体的创新机器人，破解工业仓储分拣搬运效率低、成本高、适配性差的行业痛点。通过技术创新推动工业物流自动化升级，助力企业降本增效，同时践行绿色发展理念，为工业领域碳减排提供可落地的解决方案。</w:t>
      </w:r>
    </w:p>
    <w:p w14:paraId="5BA371E4">
      <w:pPr>
        <w:pStyle w:val="4"/>
        <w:numPr>
          <w:ilvl w:val="0"/>
          <w:numId w:val="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</w:t>
      </w:r>
      <w:r>
        <w:rPr>
          <w:rFonts w:hint="default"/>
          <w:lang w:val="en-US" w:eastAsia="zh-CN"/>
        </w:rPr>
        <w:t>价值</w:t>
      </w:r>
    </w:p>
    <w:p w14:paraId="0AA65E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降本增效，单台机器人日均分拣量超2000件，替代3-5名人工，帮助企业年节省人力成本15-25万元。精准高效，AI 视觉引导实现95%以上分拣准确率，SLAM导航定位误差≤5cm，动态避障响应时间≤0.3 秒。绿色低碳，采用低功耗硬件与节能算法，单台设备年减碳超8kg，核心部件可回收利用率达70%</w:t>
      </w:r>
      <w:r>
        <w:rPr>
          <w:rFonts w:hint="eastAsia" w:eastAsia="宋体" w:asciiTheme="minorAscii" w:hAnsiTheme="minorAscii"/>
          <w:sz w:val="24"/>
          <w:lang w:val="en-US" w:eastAsia="zh-CN"/>
        </w:rPr>
        <w:t>。</w:t>
      </w:r>
      <w:r>
        <w:rPr>
          <w:rFonts w:hint="default" w:eastAsia="宋体" w:asciiTheme="minorAscii" w:hAnsiTheme="minorAscii"/>
          <w:sz w:val="24"/>
          <w:lang w:val="en-US" w:eastAsia="zh-CN"/>
        </w:rPr>
        <w:t>灵活适配，支持多SKU、多场景快速切换，无需复杂调试，降低中小微企业使用门槛。</w:t>
      </w:r>
    </w:p>
    <w:p w14:paraId="6360630B">
      <w:pPr>
        <w:pStyle w:val="2"/>
        <w:bidi w:val="0"/>
        <w:rPr>
          <w:rFonts w:hint="default"/>
        </w:rPr>
      </w:pPr>
      <w:bookmarkStart w:id="10" w:name="_Toc28902"/>
      <w:bookmarkStart w:id="11" w:name="_Toc22358"/>
      <w:r>
        <w:rPr>
          <w:rFonts w:hint="default"/>
        </w:rPr>
        <w:t>市场分析</w:t>
      </w:r>
      <w:r>
        <w:rPr>
          <w:rFonts w:hint="eastAsia"/>
          <w:lang w:val="en-US" w:eastAsia="zh-CN"/>
        </w:rPr>
        <w:t>与成本核算</w:t>
      </w:r>
      <w:bookmarkEnd w:id="10"/>
      <w:bookmarkEnd w:id="11"/>
    </w:p>
    <w:p w14:paraId="463EB0E7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2" w:name="_Toc6378"/>
      <w:bookmarkStart w:id="13" w:name="_Toc22099"/>
      <w:r>
        <w:rPr>
          <w:rFonts w:hint="default"/>
          <w:lang w:val="en-US" w:eastAsia="zh-CN"/>
        </w:rPr>
        <w:t>市场规模与增长潜力</w:t>
      </w:r>
      <w:bookmarkEnd w:id="12"/>
      <w:bookmarkEnd w:id="13"/>
    </w:p>
    <w:p w14:paraId="43EC9DBB">
      <w:pPr>
        <w:pStyle w:val="4"/>
        <w:numPr>
          <w:ilvl w:val="0"/>
          <w:numId w:val="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核心需求市场规模</w:t>
      </w:r>
    </w:p>
    <w:p w14:paraId="20F32D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国内工业仓储、物流快递、电商仓储三大核心领域市场规模超5万亿元，智能分拣搬运设备渗透率仅15%，存在巨大替代空间。其中，中小制造企业超400 万家，电商仓储企业超50万家，对高性价比智能分拣搬运设备需求旺盛，市场规模年增速超40%。</w:t>
      </w:r>
    </w:p>
    <w:p w14:paraId="6DD0D357">
      <w:pPr>
        <w:pStyle w:val="4"/>
        <w:numPr>
          <w:ilvl w:val="0"/>
          <w:numId w:val="9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细分市场潜力</w:t>
      </w:r>
    </w:p>
    <w:p w14:paraId="72A4B8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AI视觉+ SLAM导航类全自主分拣搬运机器人作为高端细分品类，契合柔性制造与绿色工业趋势，预计未来5年复合增长率达45%以上。政策补贴与企业降本需求双重驱动，批量采购需求持续释放，成为市场增长核心引擎。</w:t>
      </w:r>
    </w:p>
    <w:p w14:paraId="5CC86549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4" w:name="_Toc10448"/>
      <w:bookmarkStart w:id="15" w:name="_Toc2636"/>
      <w:r>
        <w:rPr>
          <w:rFonts w:hint="default"/>
          <w:lang w:val="en-US" w:eastAsia="zh-CN"/>
        </w:rPr>
        <w:t>竞争格局分析</w:t>
      </w:r>
      <w:bookmarkEnd w:id="14"/>
      <w:bookmarkEnd w:id="15"/>
    </w:p>
    <w:p w14:paraId="3AAF4C46">
      <w:pPr>
        <w:pStyle w:val="4"/>
        <w:numPr>
          <w:ilvl w:val="0"/>
          <w:numId w:val="1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竞争主体对比</w:t>
      </w:r>
    </w:p>
    <w:p w14:paraId="3B2046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 xml:space="preserve">表2.1 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竞争主体对比</w:t>
      </w:r>
    </w:p>
    <w:p w14:paraId="67276FAE">
      <w:pPr>
        <w:rPr>
          <w:rFonts w:hint="eastAsia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3855"/>
        <w:gridCol w:w="1814"/>
        <w:gridCol w:w="2008"/>
      </w:tblGrid>
      <w:tr w14:paraId="735D6466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BD5C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竞争维度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4E6F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本项目产品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64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传统搬运机器人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03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半自动化分拣设备</w:t>
            </w:r>
          </w:p>
        </w:tc>
      </w:tr>
      <w:tr w14:paraId="3F47B9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C4F8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核心优势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693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AI 视觉 + SLAM 导航融合、全自主运行、绿色低功耗、多场景适配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442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固定路径搬运、成本较低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94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部分自动化分拣、识别类型单一</w:t>
            </w:r>
          </w:p>
        </w:tc>
      </w:tr>
      <w:tr w14:paraId="0F7157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E37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技术创新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5F1C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视觉精准识别、动态路径规划、节能算法、可回收设计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4A9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常规导航技术、无视觉识别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D71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基础分拣技术、依赖人工辅助</w:t>
            </w:r>
          </w:p>
        </w:tc>
      </w:tr>
      <w:tr w14:paraId="079B95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B9B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分拣效率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2D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日均 2000 + 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EF2A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日均 800 + 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6D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日均 1200 + 件</w:t>
            </w:r>
          </w:p>
        </w:tc>
      </w:tr>
      <w:tr w14:paraId="191A61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DE9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碳排放水平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929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年减碳 8kg+，核心部件可回收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23C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高能耗，难回收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BA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能耗较高，不可回收</w:t>
            </w:r>
          </w:p>
        </w:tc>
      </w:tr>
      <w:tr w14:paraId="52E083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D1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场景适配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8D24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多 SKU、复杂仓储、动态环境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241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单一场景、固定路径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1342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有限品类、标准化环境</w:t>
            </w:r>
          </w:p>
        </w:tc>
      </w:tr>
      <w:tr w14:paraId="2370C9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388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操作门槛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B6C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免专业调试，快速上手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70A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需专业部署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C19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需人工辅助操作</w:t>
            </w:r>
          </w:p>
        </w:tc>
      </w:tr>
    </w:tbl>
    <w:p w14:paraId="1F7A1D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both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</w:pPr>
    </w:p>
    <w:p w14:paraId="190F50C5">
      <w:pPr>
        <w:pStyle w:val="4"/>
        <w:numPr>
          <w:ilvl w:val="0"/>
          <w:numId w:val="1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竞争优势总结</w:t>
      </w:r>
    </w:p>
    <w:p w14:paraId="60983B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技术壁垒显著，AI视觉与SLAM导航深度融合技术、动态避障算法形成核心竞争力，同类产品短期内难以复制。性价比突出，核心硬件国产化，批量生产成本控制在1.8万元/台，售价3.98万元 / 台，毛利率约55%，高于行业平均水平。绿色差异化，国内率先实现全自主分拣搬运与绿色低碳的深度融合，契合政策导向与企业可持续发展需求。服务优势明显，提供免费安装、2年质保、7×24小时运维支持，降低企业使用成本。</w:t>
      </w:r>
    </w:p>
    <w:p w14:paraId="06FEF419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6" w:name="_Toc13051"/>
      <w:bookmarkStart w:id="17" w:name="_Toc13303"/>
      <w:r>
        <w:rPr>
          <w:rFonts w:hint="default"/>
          <w:lang w:val="en-US" w:eastAsia="zh-CN"/>
        </w:rPr>
        <w:t>目标市场定位</w:t>
      </w:r>
      <w:bookmarkEnd w:id="16"/>
      <w:bookmarkEnd w:id="17"/>
    </w:p>
    <w:p w14:paraId="25CBC471">
      <w:pPr>
        <w:pStyle w:val="4"/>
        <w:numPr>
          <w:ilvl w:val="0"/>
          <w:numId w:val="1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核心用户群体</w:t>
      </w:r>
    </w:p>
    <w:p w14:paraId="23CC1D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核心客户为中小制造企业、物流快递公司、电商仓储中心（日均分拣量 500-5000件），关注降本增效与灵活适配。重点客户包括区域物流枢纽、跨境电商仓储、食品医药冷链企业，需满足高精准、高稳定性需求。潜在客户为大型制造企业生产线搬运环节、智能仓库整体解决方案服务商，可提供定制化产品。</w:t>
      </w:r>
    </w:p>
    <w:p w14:paraId="29824BC1">
      <w:pPr>
        <w:pStyle w:val="4"/>
        <w:numPr>
          <w:ilvl w:val="0"/>
          <w:numId w:val="1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市场区域布局</w:t>
      </w:r>
    </w:p>
    <w:p w14:paraId="091554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优先布局长三角、珠三角、京津冀等工业密集区域，快速抢占核心市场份额。逐步拓展成渝、中部城市群等新兴工业区域，依托政策红利扩大市场覆盖。通过经销商渠道、线上电商平台、行业展会等多渠道触达客户，构建全国性销售网络。</w:t>
      </w:r>
    </w:p>
    <w:p w14:paraId="752C6614">
      <w:pPr>
        <w:pStyle w:val="3"/>
        <w:numPr>
          <w:ilvl w:val="0"/>
          <w:numId w:val="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8" w:name="_Toc10713"/>
      <w:bookmarkStart w:id="19" w:name="_Toc9435"/>
      <w:r>
        <w:rPr>
          <w:rFonts w:hint="default"/>
          <w:lang w:val="en-US" w:eastAsia="zh-CN"/>
        </w:rPr>
        <w:t>成本核算</w:t>
      </w:r>
      <w:bookmarkEnd w:id="18"/>
      <w:bookmarkEnd w:id="19"/>
    </w:p>
    <w:p w14:paraId="1FE9DB89">
      <w:pPr>
        <w:jc w:val="center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表2.2 成本核算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5819"/>
        <w:gridCol w:w="1514"/>
      </w:tblGrid>
      <w:tr w14:paraId="21CCAF0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FB0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模块类型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431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成本明细（元）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75C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总计（元）</w:t>
            </w:r>
          </w:p>
        </w:tc>
      </w:tr>
      <w:tr w14:paraId="59512F3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49F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核心硬件成本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48D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树莓派 5 主控 + STM32 控制器 + 激光雷达 + 深度相机 + 舵机 + 底盘等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46F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13500</w:t>
            </w:r>
          </w:p>
        </w:tc>
      </w:tr>
      <w:tr w14:paraId="2C920E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263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软件开发成本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183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AI 视觉算法 + SLAM 导航程序 + 系统集成（摊薄）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354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2500</w:t>
            </w:r>
          </w:p>
        </w:tc>
      </w:tr>
      <w:tr w14:paraId="51FD1C4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6F9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生产调试成本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47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PCB 打样 + 组装 + 功能测试 + 老化测试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53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1200</w:t>
            </w:r>
          </w:p>
        </w:tc>
      </w:tr>
      <w:tr w14:paraId="6DAAE0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4E3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其他成本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A3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包装 + 物流 + 售后储备 + 绿色材料溢价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5A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800</w:t>
            </w:r>
          </w:p>
        </w:tc>
      </w:tr>
      <w:tr w14:paraId="42AC54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9E3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总成本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9A7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EB3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16"/>
                <w:lang w:val="en-US" w:eastAsia="zh-CN" w:bidi="ar"/>
              </w:rPr>
              <w:t>18000</w:t>
            </w:r>
          </w:p>
        </w:tc>
      </w:tr>
    </w:tbl>
    <w:p w14:paraId="2F60D42D">
      <w:pPr>
        <w:pStyle w:val="2"/>
        <w:bidi w:val="0"/>
        <w:rPr>
          <w:rFonts w:hint="default"/>
        </w:rPr>
      </w:pPr>
      <w:bookmarkStart w:id="20" w:name="_Toc9248"/>
      <w:bookmarkStart w:id="21" w:name="_Toc25762"/>
      <w:r>
        <w:rPr>
          <w:rFonts w:hint="default"/>
        </w:rPr>
        <w:t>产品</w:t>
      </w:r>
      <w:bookmarkEnd w:id="20"/>
      <w:r>
        <w:rPr>
          <w:rFonts w:hint="eastAsia"/>
          <w:lang w:val="en-US" w:eastAsia="zh-CN"/>
        </w:rPr>
        <w:t>介绍</w:t>
      </w:r>
      <w:bookmarkEnd w:id="21"/>
    </w:p>
    <w:p w14:paraId="1746F808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bookmarkStart w:id="22" w:name="_Toc30634"/>
      <w:r>
        <w:rPr>
          <w:rFonts w:hint="eastAsia"/>
          <w:lang w:val="en-US" w:eastAsia="zh-CN"/>
        </w:rPr>
        <w:t>3.1产品架构设计</w:t>
      </w:r>
      <w:bookmarkEnd w:id="22"/>
    </w:p>
    <w:p w14:paraId="56F5B64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硬件架构</w:t>
      </w:r>
    </w:p>
    <w:p w14:paraId="235D05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采用</w:t>
      </w:r>
      <w:r>
        <w:rPr>
          <w:rFonts w:hint="eastAsia" w:eastAsia="宋体" w:asciiTheme="minorAscii" w:hAnsiTheme="minorAscii"/>
          <w:sz w:val="24"/>
          <w:lang w:val="en-US" w:eastAsia="zh-CN"/>
        </w:rPr>
        <w:t>“</w:t>
      </w:r>
      <w:r>
        <w:rPr>
          <w:rFonts w:hint="default" w:eastAsia="宋体" w:asciiTheme="minorAscii" w:hAnsiTheme="minorAscii"/>
          <w:sz w:val="24"/>
          <w:lang w:val="en-US" w:eastAsia="zh-CN"/>
        </w:rPr>
        <w:t>树莓派 5（主控制单元）+STM32（底层驱动单元）</w:t>
      </w:r>
      <w:r>
        <w:rPr>
          <w:rFonts w:hint="eastAsia" w:eastAsia="宋体" w:asciiTheme="minorAscii" w:hAnsiTheme="minorAscii"/>
          <w:sz w:val="24"/>
          <w:lang w:val="en-US" w:eastAsia="zh-CN"/>
        </w:rPr>
        <w:t>”</w:t>
      </w:r>
      <w:r>
        <w:rPr>
          <w:rFonts w:hint="default" w:eastAsia="宋体" w:asciiTheme="minorAscii" w:hAnsiTheme="minorAscii"/>
          <w:sz w:val="24"/>
          <w:lang w:val="en-US" w:eastAsia="zh-CN"/>
        </w:rPr>
        <w:t>双核心架构，硬件选材 70% 以上为可回收环保材料，核心模块支持拆卸回收。</w:t>
      </w:r>
    </w:p>
    <w:p w14:paraId="7AF05F4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软件架构</w:t>
      </w:r>
    </w:p>
    <w:p w14:paraId="74B78B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“</w:t>
      </w:r>
      <w:r>
        <w:rPr>
          <w:rFonts w:hint="default" w:eastAsia="宋体" w:asciiTheme="minorAscii" w:hAnsiTheme="minorAscii"/>
          <w:sz w:val="24"/>
          <w:lang w:val="en-US" w:eastAsia="zh-CN"/>
        </w:rPr>
        <w:t>感知 - 决策 - 执行 - 绿色管理</w:t>
      </w:r>
      <w:r>
        <w:rPr>
          <w:rFonts w:hint="eastAsia" w:eastAsia="宋体" w:asciiTheme="minorAscii" w:hAnsiTheme="minorAscii"/>
          <w:sz w:val="24"/>
          <w:lang w:val="en-US" w:eastAsia="zh-CN"/>
        </w:rPr>
        <w:t>”</w:t>
      </w:r>
      <w:r>
        <w:rPr>
          <w:rFonts w:hint="default" w:eastAsia="宋体" w:asciiTheme="minorAscii" w:hAnsiTheme="minorAscii"/>
          <w:sz w:val="24"/>
          <w:lang w:val="en-US" w:eastAsia="zh-CN"/>
        </w:rPr>
        <w:t>四层架构，集成AI视觉识别算法、SLAM 导航算法、节能控制模块，实现全自主运行与低功耗管理。</w:t>
      </w:r>
    </w:p>
    <w:p w14:paraId="51F160D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网络架构</w:t>
      </w:r>
    </w:p>
    <w:p w14:paraId="02D1D6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支持 AP/STA 双模式无缝切换，无网环境下可本地运行基础功能，有网场景下支持远程监控与数据同步。</w:t>
      </w:r>
    </w:p>
    <w:p w14:paraId="17248446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3" w:name="_Toc27221"/>
      <w:r>
        <w:rPr>
          <w:rFonts w:hint="eastAsia"/>
          <w:lang w:val="en-US" w:eastAsia="zh-CN"/>
        </w:rPr>
        <w:t>3.2核心</w:t>
      </w:r>
      <w:r>
        <w:rPr>
          <w:rFonts w:hint="default"/>
          <w:lang w:val="en-US" w:eastAsia="zh-CN"/>
        </w:rPr>
        <w:t>硬件</w:t>
      </w:r>
      <w:r>
        <w:rPr>
          <w:rFonts w:hint="eastAsia"/>
          <w:lang w:val="en-US" w:eastAsia="zh-CN"/>
        </w:rPr>
        <w:t>选型</w:t>
      </w:r>
      <w:bookmarkEnd w:id="23"/>
    </w:p>
    <w:p w14:paraId="6C22FC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表2.3 核心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硬件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选型</w:t>
      </w:r>
    </w:p>
    <w:p w14:paraId="76377C88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2"/>
        <w:gridCol w:w="2539"/>
        <w:gridCol w:w="2800"/>
        <w:gridCol w:w="2025"/>
      </w:tblGrid>
      <w:tr w14:paraId="48D3ECE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9DF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硬件模块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F577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型号 / 规格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A2A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核心参数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BBC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用途</w:t>
            </w:r>
          </w:p>
        </w:tc>
      </w:tr>
      <w:tr w14:paraId="3369E0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69B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主控制单元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356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树莓派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2C8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四核 ARM Cortex-A76，2.4GHz 主频，4GB 内存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33D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AI 视觉处理、SLAM 导航计算、系统调度</w:t>
            </w:r>
          </w:p>
        </w:tc>
      </w:tr>
      <w:tr w14:paraId="60E285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EF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底层驱动单元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4756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STM32F407VET6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D73F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ARM Cortex-M4 内核，168MHz 主频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FF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舵机控制、电机驱动、传感器数据采集</w:t>
            </w:r>
          </w:p>
        </w:tc>
      </w:tr>
      <w:tr w14:paraId="065D3D3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2AA6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激光雷达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55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MS200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35B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360° 扫描，测距 0.1-13.4m，角度分辨率 0.8°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86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环境建模、避障检测、导航定位</w:t>
            </w:r>
          </w:p>
        </w:tc>
      </w:tr>
      <w:tr w14:paraId="129D21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99EB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深度相机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CCE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Aurora930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97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640×400 分辨率，30-300cm 工作距离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20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货物识别、尺寸测量、精准定位</w:t>
            </w:r>
          </w:p>
        </w:tc>
      </w:tr>
      <w:tr w14:paraId="3BC99F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6296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舵机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BDA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HX-06L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FD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6kg.cm 扭矩，0.3° 精度，0-240° 转动范围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959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分拣抓取、货物摆放</w:t>
            </w:r>
          </w:p>
        </w:tc>
      </w:tr>
      <w:tr w14:paraId="0033E2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6D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移动底盘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244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麦克纳姆轮结构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1859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全向移动，最大速度 0.8m/s，负载 5kg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9C8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灵活移动、精准停靠</w:t>
            </w:r>
          </w:p>
        </w:tc>
      </w:tr>
      <w:tr w14:paraId="30AC30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755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电源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0AA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12V 8000mAh 锂电池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537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续航≥8 小时，支持快充，低功耗模式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A3F5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为各模块稳定供电</w:t>
            </w:r>
          </w:p>
        </w:tc>
      </w:tr>
      <w:tr w14:paraId="2944F7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61B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视觉传感器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B9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USB 单目相机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43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130° 视场角，640×480 分辨率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7F5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辅助货物识别、环境监测</w:t>
            </w:r>
          </w:p>
        </w:tc>
      </w:tr>
    </w:tbl>
    <w:p w14:paraId="47D552A5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outlineLvl w:val="9"/>
        <w:rPr>
          <w:rFonts w:hint="eastAsia" w:ascii="Segoe UI" w:hAnsi="Segoe UI" w:eastAsia="黑体" w:cs="Segoe UI"/>
          <w:b w:val="0"/>
          <w:bCs w:val="0"/>
          <w:i w:val="0"/>
          <w:iCs w:val="0"/>
          <w:caps w:val="0"/>
          <w:color w:val="000000"/>
          <w:spacing w:val="0"/>
          <w:sz w:val="28"/>
          <w:szCs w:val="18"/>
          <w:lang w:eastAsia="zh-CN"/>
        </w:rPr>
      </w:pPr>
    </w:p>
    <w:p w14:paraId="4F905CCE">
      <w:pPr>
        <w:keepNext w:val="0"/>
        <w:keepLines w:val="0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9"/>
        <w:rPr>
          <w:rFonts w:hint="eastAsia" w:ascii="Segoe UI" w:hAnsi="Segoe UI" w:eastAsia="黑体" w:cs="Segoe UI"/>
          <w:b w:val="0"/>
          <w:bCs w:val="0"/>
          <w:i w:val="0"/>
          <w:iCs w:val="0"/>
          <w:caps w:val="0"/>
          <w:color w:val="000000"/>
          <w:spacing w:val="0"/>
          <w:sz w:val="28"/>
          <w:szCs w:val="18"/>
          <w:lang w:eastAsia="zh-CN"/>
        </w:rPr>
      </w:pPr>
      <w:r>
        <w:rPr>
          <w:rFonts w:hint="eastAsia" w:ascii="Segoe UI" w:hAnsi="Segoe UI" w:eastAsia="黑体" w:cs="Segoe UI"/>
          <w:b w:val="0"/>
          <w:bCs w:val="0"/>
          <w:i w:val="0"/>
          <w:iCs w:val="0"/>
          <w:caps w:val="0"/>
          <w:color w:val="000000"/>
          <w:spacing w:val="0"/>
          <w:sz w:val="28"/>
          <w:szCs w:val="18"/>
          <w:lang w:eastAsia="zh-CN"/>
        </w:rPr>
        <w:drawing>
          <wp:inline distT="0" distB="0" distL="114300" distR="114300">
            <wp:extent cx="5675630" cy="3658870"/>
            <wp:effectExtent l="0" t="0" r="1270" b="11430"/>
            <wp:docPr id="5" name="图片 5" descr="屏幕截图 2025-12-04 18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04 1807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541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jc w:val="center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图2.1 树莓派外观图</w:t>
      </w:r>
    </w:p>
    <w:p w14:paraId="0C4C66E8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4" w:name="_Toc27966"/>
      <w:r>
        <w:rPr>
          <w:rFonts w:hint="eastAsia"/>
          <w:lang w:val="en-US" w:eastAsia="zh-CN"/>
        </w:rPr>
        <w:t>3.3</w:t>
      </w:r>
      <w:r>
        <w:rPr>
          <w:rFonts w:hint="default"/>
          <w:lang w:val="en-US" w:eastAsia="zh-CN"/>
        </w:rPr>
        <w:t>硬件电路设计</w:t>
      </w:r>
      <w:bookmarkEnd w:id="24"/>
    </w:p>
    <w:p w14:paraId="5E821418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</w:t>
      </w:r>
      <w:r>
        <w:rPr>
          <w:rFonts w:hint="default"/>
          <w:lang w:val="en-US" w:eastAsia="zh-CN"/>
        </w:rPr>
        <w:t>电路架构总览</w:t>
      </w:r>
    </w:p>
    <w:p w14:paraId="48B7E3B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采用 “主控层 - 驱动层 - 感知层” 三级电路架构，以树莓派5（主控制）与 STM32F407（底层驱动）为核心，通过I2C、UART、SPI多总线实现模块间数据交互，整体电路支持5V/12V双电压域供电，配备过流、过压、反接保护电路，确保设备在工业环境下的稳定性。</w:t>
      </w:r>
    </w:p>
    <w:p w14:paraId="4DC66678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供电电路</w:t>
      </w:r>
    </w:p>
    <w:p w14:paraId="2345667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采用 12V 8000mAh 锂电池作为主电源，通过 DC-DC 降压模块输出 5V/3A（供树莓派、相机）、3.3V/2A（供传感器、舵机控制），配备电量监测电路（通过ADC采集电池电压，实时反馈剩余电量）。增设应急备用电源（500mAh纽扣电池），确保系统异常断电时数据存储与安全关机。</w:t>
      </w:r>
    </w:p>
    <w:p w14:paraId="0585ABA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主控通信电路</w:t>
      </w:r>
    </w:p>
    <w:p w14:paraId="62163F8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color w:val="000000"/>
          <w:sz w:val="16"/>
          <w:szCs w:val="16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树莓派5与STM32 通过UART（波特率115200）实现指令与数据双向传输，同时通过SPI总线连接激光雷达（传输环境扫描数据）。深度相机、单目相机通过USB 3.0接口直连树莓派，传输图像数据（带宽≥5Gbps）。</w:t>
      </w:r>
    </w:p>
    <w:p w14:paraId="49A91E2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驱动控制电路</w:t>
      </w:r>
    </w:p>
    <w:p w14:paraId="10AA384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color w:val="000000"/>
          <w:sz w:val="16"/>
          <w:szCs w:val="16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STM32通过PWM输出接口（频率50Hz）控制6路舵机（机械臂关节），每路配备功率放大电路（TIP122三极管）增强驱动能力。底盘电机采用H桥驱动电路（L298N模块），支持正反转、调速控制，通过编码器接口采集电机转速，实现闭环控制。</w:t>
      </w:r>
    </w:p>
    <w:p w14:paraId="389732DD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感知层电路</w:t>
      </w:r>
    </w:p>
    <w:p w14:paraId="79077E3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激光雷达通过TTL电平接口与树莓派通信，配备抗干扰屏蔽线，减少电磁干扰。环境光传感器、碰撞检测传感器通过I2C接口连接STM32，采集环境亮度、物理碰撞信号，触发对应保护机制。</w:t>
      </w:r>
    </w:p>
    <w:p w14:paraId="13AE2B80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5" w:name="_Toc31027"/>
      <w:r>
        <w:rPr>
          <w:rFonts w:hint="eastAsia"/>
          <w:lang w:val="en-US" w:eastAsia="zh-CN"/>
        </w:rPr>
        <w:t>3.4</w:t>
      </w:r>
      <w:r>
        <w:rPr>
          <w:rFonts w:hint="default"/>
          <w:lang w:val="en-US" w:eastAsia="zh-CN"/>
        </w:rPr>
        <w:t>硬件集成实现</w:t>
      </w:r>
      <w:bookmarkEnd w:id="25"/>
    </w:p>
    <w:p w14:paraId="7DA7AD2E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3.4.1</w:t>
      </w:r>
      <w:r>
        <w:rPr>
          <w:rFonts w:hint="default"/>
          <w:lang w:val="en-US" w:eastAsia="zh-CN"/>
        </w:rPr>
        <w:t>集成流程</w:t>
      </w:r>
    </w:p>
    <w:p w14:paraId="7E87D98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模块化预装：先将树莓派、STM32、供电模块分别焊接在专用PCB子板上，完成单模块功能测试（如舵机驱动、相机图像采集）。</w:t>
      </w:r>
    </w:p>
    <w:p w14:paraId="735A19F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主底板集成：将各子板通过排针、连接器固定在主底板（FR-4材质，尺寸200×150mm），按功能分区布局（主控区、驱动区、接口区），减少布线长度。</w:t>
      </w:r>
    </w:p>
    <w:p w14:paraId="27E873C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机械结构适配：将集成好的电路模块通过螺丝固定在履带底盘的上层支架，机械臂与舵机通过联轴器连接，传感器（激光雷达、相机）安装在机械臂末端及底盘前端，确保感知范围无遮挡。</w:t>
      </w:r>
    </w:p>
    <w:p w14:paraId="24469AC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整机调试：完成硬件组装后，进行供电测试、通信链路测试、功能联动测试（如 “识别 - 抓取” 全流程），验证各模块协同稳定性。</w:t>
      </w:r>
    </w:p>
    <w:p w14:paraId="4EC8A2B4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3.4.2</w:t>
      </w:r>
      <w:r>
        <w:rPr>
          <w:rFonts w:hint="default"/>
          <w:lang w:val="en-US" w:eastAsia="zh-CN"/>
        </w:rPr>
        <w:t>集成优化</w:t>
      </w:r>
    </w:p>
    <w:p w14:paraId="10882FB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布线管理：采用扎带、线槽整理线缆，区分电源线与信号线，避免电磁干扰；关键信号线路（如相机USB线）使用屏蔽线。</w:t>
      </w:r>
    </w:p>
    <w:p w14:paraId="559FA1A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散热设计：树莓派配备铝合金散热片 + 小型风扇（5V，转速3000RPM），通过通风孔实现空气流通，确保长时间运行时核心温度≤60℃。</w:t>
      </w:r>
    </w:p>
    <w:p w14:paraId="5D1A490C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防护处理：电路模块表面覆盖绝缘胶布，接口处涂抹防水胶，提升设备在粉尘、轻微潮湿环境下的耐受性。</w:t>
      </w:r>
    </w:p>
    <w:p w14:paraId="47BE333C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6" w:name="_Toc26357"/>
      <w:r>
        <w:rPr>
          <w:rFonts w:hint="eastAsia"/>
          <w:lang w:val="en-US" w:eastAsia="zh-CN"/>
        </w:rPr>
        <w:t>3.5</w:t>
      </w:r>
      <w:r>
        <w:rPr>
          <w:rFonts w:hint="default"/>
          <w:lang w:val="en-US" w:eastAsia="zh-CN"/>
        </w:rPr>
        <w:t>主控单元设计</w:t>
      </w:r>
      <w:bookmarkEnd w:id="26"/>
    </w:p>
    <w:p w14:paraId="39C6415E">
      <w:pPr>
        <w:numPr>
          <w:ilvl w:val="0"/>
          <w:numId w:val="14"/>
        </w:numPr>
        <w:bidi w:val="0"/>
        <w:ind w:left="425" w:leftChars="0" w:hanging="425" w:firstLineChars="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4"/>
          <w:lang w:val="en-US" w:eastAsia="zh-CN"/>
        </w:rPr>
        <w:t>采用 “树莓派 5+STM32F407” 双主控协同设计</w:t>
      </w:r>
    </w:p>
    <w:p w14:paraId="20534B07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树莓派5（AI与导航主控）：负责AI视觉识别（图像预处理、YOLOv8模型推理）、SLAM导航（环境地图构建、路径规划）、云端数据交互、人机界面控制，配备4GB内存+ 64GB存储卡，满足算法运行与数据存储需求。</w:t>
      </w:r>
    </w:p>
    <w:p w14:paraId="7CBF8EA1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STM32F407（底层驱动主控）：负责舵机、电机的实时控制，传感器数据采集（激光雷达、碰撞检测），以及应急保护（如断电、过载时触发急停），凭借 168MHz主频与192KBRAM实现低延迟响应。</w:t>
      </w:r>
    </w:p>
    <w:p w14:paraId="459A8516">
      <w:pPr>
        <w:numPr>
          <w:ilvl w:val="0"/>
          <w:numId w:val="0"/>
        </w:numPr>
        <w:bidi w:val="0"/>
        <w:ind w:left="0" w:leftChars="0" w:firstLine="480" w:firstLineChars="200"/>
      </w:pPr>
      <w:r>
        <w:drawing>
          <wp:inline distT="0" distB="0" distL="114300" distR="114300">
            <wp:extent cx="5246370" cy="3300095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1066" r="422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823FE">
      <w:pPr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图2.2</w:t>
      </w:r>
      <w:r>
        <w:rPr>
          <w:lang w:val="en-US" w:eastAsia="zh-CN"/>
        </w:rPr>
        <w:t>机器人任务分配</w:t>
      </w:r>
      <w:r>
        <w:rPr>
          <w:rFonts w:hint="eastAsia"/>
          <w:lang w:val="en-US" w:eastAsia="zh-CN"/>
        </w:rPr>
        <w:t>图</w:t>
      </w:r>
    </w:p>
    <w:p w14:paraId="622DA8FB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</w:p>
    <w:p w14:paraId="2CCE57EA">
      <w:pPr>
        <w:numPr>
          <w:ilvl w:val="0"/>
          <w:numId w:val="14"/>
        </w:numPr>
        <w:bidi w:val="0"/>
        <w:ind w:left="425" w:leftChars="0" w:hanging="425" w:firstLineChars="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4"/>
          <w:lang w:val="en-US" w:eastAsia="zh-CN"/>
        </w:rPr>
        <w:t>主控协同机制</w:t>
      </w:r>
    </w:p>
    <w:p w14:paraId="03C50DAC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指令交互：树莓派通过UART向STM32发送 “机械臂动作”“底盘移动” 等高层指令，STM32返回 “执行状态”“传感器数据” 等反馈信息，交互延迟≤10ms。</w:t>
      </w:r>
    </w:p>
    <w:p w14:paraId="3D3789D5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优先级处理：STM32优先响应紧急指令（如碰撞检测信号），直接控制设备急停，同时向树莓派上报异常，确保安全。</w:t>
      </w:r>
    </w:p>
    <w:p w14:paraId="30A49295">
      <w:pPr>
        <w:numPr>
          <w:ilvl w:val="0"/>
          <w:numId w:val="0"/>
        </w:numPr>
        <w:bidi w:val="0"/>
        <w:ind w:left="0" w:leftChars="0" w:firstLine="480" w:firstLineChars="200"/>
      </w:pPr>
      <w:r>
        <w:drawing>
          <wp:inline distT="0" distB="0" distL="114300" distR="114300">
            <wp:extent cx="5268595" cy="2423795"/>
            <wp:effectExtent l="0" t="0" r="8255" b="508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7604">
      <w:pPr>
        <w:keepNext w:val="0"/>
        <w:keepLines w:val="0"/>
        <w:widowControl/>
        <w:suppressLineNumbers w:val="0"/>
        <w:jc w:val="center"/>
      </w:pPr>
      <w:r>
        <w:rPr>
          <w:rFonts w:hint="eastAsia" w:ascii="Consolas" w:hAnsi="Consolas" w:eastAsia="Consolas" w:cs="Consolas"/>
          <w:color w:val="000000"/>
          <w:kern w:val="0"/>
          <w:sz w:val="20"/>
          <w:szCs w:val="20"/>
          <w:lang w:val="en-US" w:eastAsia="zh-CN" w:bidi="ar"/>
        </w:rPr>
        <w:t xml:space="preserve">图2.3 </w:t>
      </w:r>
      <w:r>
        <w:rPr>
          <w:rFonts w:ascii="Consolas" w:hAnsi="Consolas" w:eastAsia="Consolas" w:cs="Consolas"/>
          <w:color w:val="000000"/>
          <w:kern w:val="0"/>
          <w:sz w:val="20"/>
          <w:szCs w:val="20"/>
          <w:lang w:val="en-US" w:eastAsia="zh-CN" w:bidi="ar"/>
        </w:rPr>
        <w:t>STM3</w:t>
      </w:r>
      <w:r>
        <w:rPr>
          <w:rFonts w:hint="eastAsia" w:ascii="Consolas" w:hAnsi="Consolas" w:eastAsia="Consolas" w:cs="Consolas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ascii="黑体" w:hAnsi="宋体" w:eastAsia="黑体" w:cs="黑体"/>
          <w:color w:val="000000"/>
          <w:kern w:val="0"/>
          <w:sz w:val="20"/>
          <w:szCs w:val="20"/>
          <w:lang w:val="en-US" w:eastAsia="zh-CN" w:bidi="ar"/>
        </w:rPr>
        <w:t>电机控制流程图</w:t>
      </w:r>
    </w:p>
    <w:p w14:paraId="6266E738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EEB46E0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bookmarkStart w:id="27" w:name="_Toc14785"/>
      <w:r>
        <w:rPr>
          <w:rFonts w:hint="eastAsia"/>
          <w:lang w:val="en-US" w:eastAsia="zh-CN"/>
        </w:rPr>
        <w:t>3.6</w:t>
      </w:r>
      <w:r>
        <w:rPr>
          <w:rFonts w:hint="default"/>
          <w:lang w:val="en-US" w:eastAsia="zh-CN"/>
        </w:rPr>
        <w:t>关键模块详细设计</w:t>
      </w:r>
      <w:bookmarkEnd w:id="27"/>
    </w:p>
    <w:p w14:paraId="608AADD9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3.6.1</w:t>
      </w:r>
      <w:r>
        <w:rPr>
          <w:rFonts w:hint="default"/>
          <w:lang w:val="en-US" w:eastAsia="zh-CN"/>
        </w:rPr>
        <w:t>机械臂模块</w:t>
      </w:r>
    </w:p>
    <w:p w14:paraId="787C9E37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结构设计：自由度机械臂，采用铝合金材质关节，最大负载5kg，末端抓取器为自适应夹爪（可适配3-30cm尺寸货物）。</w:t>
      </w:r>
    </w:p>
    <w:p w14:paraId="78CE536B">
      <w:pPr>
        <w:numPr>
          <w:ilvl w:val="0"/>
          <w:numId w:val="0"/>
        </w:numPr>
        <w:bidi w:val="0"/>
        <w:ind w:left="0" w:leftChars="0" w:firstLine="480" w:firstLineChars="200"/>
        <w:jc w:val="center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drawing>
          <wp:inline distT="0" distB="0" distL="114300" distR="114300">
            <wp:extent cx="3641725" cy="3864610"/>
            <wp:effectExtent l="0" t="0" r="6350" b="2540"/>
            <wp:docPr id="3" name="图片 3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9A6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jc w:val="center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图3.1 HX-06L舵机</w:t>
      </w:r>
    </w:p>
    <w:p w14:paraId="4441A4D9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驱动设计：每个关节配备HX-06L舵机（扭矩6kg・cm，精度0.3°），通过STM32 的PWM信号独立控制，支持角度闭环控制（通过电位器采集关节角度）。</w:t>
      </w:r>
    </w:p>
    <w:p w14:paraId="08059664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3.6.2</w:t>
      </w:r>
      <w:r>
        <w:rPr>
          <w:rFonts w:hint="default"/>
          <w:lang w:val="en-US" w:eastAsia="zh-CN"/>
        </w:rPr>
        <w:t>激光雷达模块</w:t>
      </w:r>
    </w:p>
    <w:p w14:paraId="30E396EE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激光雷达是一种以发射激光束来探测目标位置、速度等特征量的遥感技术，它具备测量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分辨率高、穿透能力强、抗干扰能力强、抗隐身能力强等优点。</w:t>
      </w:r>
    </w:p>
    <w:p w14:paraId="10F124A0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根据测量原理，激光雷达可分为三种，分别是三角法激光雷达、脉冲法激光雷达和相干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法激光雷达。机器人所配备的激光雷达属于脉冲法激光雷达。</w:t>
      </w:r>
    </w:p>
    <w:p w14:paraId="28015F67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选型：MS200激光雷达，360°全向扫描，测距范围0.1-13.4m，角度分辨率0.8°，扫描频率10Hz。</w:t>
      </w:r>
    </w:p>
    <w:p w14:paraId="578014C8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功能实现：通过SPI接口向树莓派传输点云数据，树莓派基于ROS2系统构建二维栅格地图，用于SLAM导航的定位与避障</w:t>
      </w:r>
      <w:r>
        <w:rPr>
          <w:rFonts w:hint="eastAsia" w:eastAsia="宋体" w:asciiTheme="minorAscii" w:hAnsiTheme="minorAscii"/>
          <w:sz w:val="24"/>
          <w:lang w:val="en-US" w:eastAsia="zh-CN"/>
        </w:rPr>
        <w:t>。</w:t>
      </w:r>
    </w:p>
    <w:p w14:paraId="1DBB8507">
      <w:pPr>
        <w:numPr>
          <w:ilvl w:val="0"/>
          <w:numId w:val="0"/>
        </w:numPr>
        <w:bidi w:val="0"/>
        <w:ind w:left="0" w:leftChars="0" w:firstLine="480" w:firstLineChars="200"/>
        <w:jc w:val="center"/>
        <w:rPr>
          <w:rFonts w:hint="default" w:eastAsia="宋体" w:asciiTheme="minorAscii" w:hAnsiTheme="minorAscii"/>
          <w:sz w:val="24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2861945</wp:posOffset>
            </wp:positionH>
            <wp:positionV relativeFrom="paragraph">
              <wp:posOffset>207645</wp:posOffset>
            </wp:positionV>
            <wp:extent cx="2274570" cy="2035175"/>
            <wp:effectExtent l="0" t="0" r="1905" b="3175"/>
            <wp:wrapTopAndBottom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126365</wp:posOffset>
            </wp:positionV>
            <wp:extent cx="2383790" cy="2052320"/>
            <wp:effectExtent l="0" t="0" r="6985" b="5080"/>
            <wp:wrapTopAndBottom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图3.2 激光雷达</w:t>
      </w:r>
    </w:p>
    <w:p w14:paraId="3F029D5C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3.6.3霍尔编码直流减速电机</w:t>
      </w:r>
    </w:p>
    <w:p w14:paraId="501F13B2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JGA27-310R20 是一款微型高精度 AB 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相霍尔编码器测速码直流电机，额定电压为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7.4V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。</w:t>
      </w:r>
    </w:p>
    <w:p w14:paraId="4AE75E00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899535" cy="3528060"/>
            <wp:effectExtent l="0" t="0" r="5715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CCF64">
      <w:pPr>
        <w:keepNext w:val="0"/>
        <w:keepLines w:val="0"/>
        <w:widowControl/>
        <w:numPr>
          <w:ilvl w:val="0"/>
          <w:numId w:val="0"/>
        </w:numPr>
        <w:suppressLineNumbers w:val="0"/>
        <w:jc w:val="center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图3.3霍尔电机</w:t>
      </w:r>
    </w:p>
    <w:p w14:paraId="333DFF74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1、VCC-GND 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之间的电压根据所用单片机供电电压来定，一般使用 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3.3V 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或者 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5V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。 </w:t>
      </w:r>
    </w:p>
    <w:p w14:paraId="4B877086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A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B 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输出方波的频率和电机速度和所用磁片的对极数有关。 </w:t>
      </w:r>
    </w:p>
    <w:p w14:paraId="01F4BA77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M1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M2 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之间的电压根据所用电机电压。</w:t>
      </w:r>
    </w:p>
    <w:p w14:paraId="56B15295">
      <w:pPr>
        <w:pStyle w:val="4"/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3.6.4</w:t>
      </w:r>
      <w:r>
        <w:rPr>
          <w:lang w:val="en-US" w:eastAsia="zh-CN"/>
        </w:rPr>
        <w:t>总线舵机</w:t>
      </w:r>
    </w:p>
    <w:p w14:paraId="425E8E8A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1336040</wp:posOffset>
            </wp:positionH>
            <wp:positionV relativeFrom="paragraph">
              <wp:posOffset>624840</wp:posOffset>
            </wp:positionV>
            <wp:extent cx="2312670" cy="2642235"/>
            <wp:effectExtent l="0" t="0" r="1905" b="5715"/>
            <wp:wrapTopAndBottom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本项目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为 6 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自由度机械臂，由 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 xml:space="preserve">6 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个智能总线舵机（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HX-06L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）以及金属钣金件连接组成。</w:t>
      </w:r>
    </w:p>
    <w:p w14:paraId="06ED000B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30D28071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center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图3.4总线舵机</w:t>
      </w:r>
    </w:p>
    <w:p w14:paraId="132C9194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总线舵机采用串行通信方式，通过一个总线来连接多个舵机的机控制系统，总线舵机可以通过一个I/0口串联多个舵机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从而实现相比于数字舵机精度高、价格稍微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昂贵的特点。</w:t>
      </w:r>
    </w:p>
    <w:p w14:paraId="572469B3">
      <w:pPr>
        <w:pStyle w:val="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3.6.5深度相机</w:t>
      </w:r>
    </w:p>
    <w:p w14:paraId="626B7245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/>
          <w:lang w:val="en-US" w:eastAsia="zh-CN"/>
        </w:rPr>
      </w:pP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Aurora930，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Deptrum®Aurora930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系列深度相机利用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3D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结构光技术获取物体和空间的三维结构，并将彩色相机的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RGB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图像与深度数据融合，可以提供便捷高效的</w:t>
      </w: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3D</w:t>
      </w:r>
      <w:r>
        <w:rPr>
          <w:rFonts w:hint="eastAsia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感知能力</w:t>
      </w:r>
    </w:p>
    <w:p w14:paraId="0D38BC71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640×400分辨率，工作距离30-300cm，采集货物的深度信息，实现三维空间定位。</w:t>
      </w:r>
    </w:p>
    <w:p w14:paraId="5D0C0E19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单目相机：130°视场角，640×480分辨率，辅助采集货物外观特征，与深度数据融合提升识别准确率。</w:t>
      </w:r>
    </w:p>
    <w:p w14:paraId="3D709071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算法适配：树莓派端运行YOLOv8轻量化模型，对相机采集的图像进行实时推理（帧率≥15FPS），识别货物类型与位置。</w:t>
      </w:r>
    </w:p>
    <w:p w14:paraId="0D101D3C">
      <w:pPr>
        <w:numPr>
          <w:ilvl w:val="0"/>
          <w:numId w:val="0"/>
        </w:numPr>
        <w:bidi w:val="0"/>
        <w:ind w:left="0" w:leftChars="0" w:firstLine="480" w:firstLineChars="200"/>
      </w:pPr>
      <w:r>
        <w:drawing>
          <wp:inline distT="0" distB="0" distL="114300" distR="114300">
            <wp:extent cx="5267325" cy="2113915"/>
            <wp:effectExtent l="0" t="0" r="0" b="63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D8EAC">
      <w:pPr>
        <w:numPr>
          <w:ilvl w:val="0"/>
          <w:numId w:val="0"/>
        </w:numPr>
        <w:bidi w:val="0"/>
        <w:ind w:left="0" w:leftChars="0" w:firstLine="480" w:firstLineChars="200"/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2611755"/>
            <wp:effectExtent l="0" t="0" r="5715" b="762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图3.5深度相机</w:t>
      </w:r>
    </w:p>
    <w:p w14:paraId="6116E784">
      <w:pPr>
        <w:widowControl w:val="0"/>
        <w:numPr>
          <w:ilvl w:val="0"/>
          <w:numId w:val="0"/>
        </w:numPr>
        <w:bidi w:val="0"/>
        <w:ind w:left="0" w:leftChars="0" w:firstLine="480" w:firstLineChars="20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 w14:paraId="71931C86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软件的</w:t>
      </w:r>
      <w:r>
        <w:rPr>
          <w:rFonts w:hint="default"/>
          <w:lang w:val="en-US" w:eastAsia="zh-CN"/>
        </w:rPr>
        <w:t>开发环境与工具</w:t>
      </w:r>
    </w:p>
    <w:p w14:paraId="14153B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表3.1 软件的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开发环境与工具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3"/>
        <w:gridCol w:w="4138"/>
        <w:gridCol w:w="2845"/>
      </w:tblGrid>
      <w:tr w14:paraId="39E6504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6C8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开发对象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453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环境 / 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142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核心用途</w:t>
            </w:r>
          </w:p>
        </w:tc>
      </w:tr>
      <w:tr w14:paraId="409544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20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AI 视觉识别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01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Python3+OpenCV+YOLOv8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2337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货物识别算法开发、模型训练与优化</w:t>
            </w:r>
          </w:p>
        </w:tc>
      </w:tr>
      <w:tr w14:paraId="3805E3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05D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SLAM 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2FD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ROS2 Humble+Gazebo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E3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路径规划算法开发、环境建模仿真</w:t>
            </w:r>
          </w:p>
        </w:tc>
      </w:tr>
      <w:tr w14:paraId="6155B6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D5A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底层驱动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CE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Keil uVision5+STM32CubeMX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EE8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舵机、电机控制程序开发</w:t>
            </w:r>
          </w:p>
        </w:tc>
      </w:tr>
      <w:tr w14:paraId="1BC7442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DF39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系统集成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9F2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Visual Studio Code+Docker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CD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各模块程序集成、系统稳定性优化</w:t>
            </w:r>
          </w:p>
        </w:tc>
      </w:tr>
      <w:tr w14:paraId="6E466FA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7E8E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远程控制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11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Qt Creator+WonderPi APP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10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可视化控制界面开发、远程监控功能实现</w:t>
            </w:r>
          </w:p>
        </w:tc>
      </w:tr>
      <w:tr w14:paraId="08A03D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95E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硬件调试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494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J-Link + 串口助手 + 激光雷达调试工具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8EE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硬件功能测试、算法参数校准</w:t>
            </w:r>
          </w:p>
        </w:tc>
      </w:tr>
    </w:tbl>
    <w:p w14:paraId="5B3A2F86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软件的</w:t>
      </w:r>
      <w:r>
        <w:rPr>
          <w:rFonts w:hint="default"/>
          <w:lang w:val="en-US" w:eastAsia="zh-CN"/>
        </w:rPr>
        <w:t>核心功能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设计</w:t>
      </w:r>
    </w:p>
    <w:p w14:paraId="78FE5B23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核心功能架构</w:t>
      </w:r>
    </w:p>
    <w:p w14:paraId="1E37856E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感知层：负责图像采集、激光点云采集、传感器数据采集，输出 “货物信息”“环境地图”“设备状态”。</w:t>
      </w:r>
    </w:p>
    <w:p w14:paraId="26B319CC">
      <w:pPr>
        <w:numPr>
          <w:ilvl w:val="0"/>
          <w:numId w:val="0"/>
        </w:numPr>
        <w:bidi w:val="0"/>
        <w:ind w:left="0" w:leftChars="0" w:firstLine="480" w:firstLineChars="200"/>
      </w:pPr>
      <w:r>
        <w:drawing>
          <wp:inline distT="0" distB="0" distL="114300" distR="114300">
            <wp:extent cx="5270500" cy="2850515"/>
            <wp:effectExtent l="0" t="0" r="635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12F06">
      <w:pPr>
        <w:numPr>
          <w:ilvl w:val="0"/>
          <w:numId w:val="0"/>
        </w:numPr>
        <w:bidi w:val="0"/>
        <w:ind w:left="0" w:leftChars="0" w:firstLine="480" w:firstLineChars="20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图3.6激光雷达建图过程</w:t>
      </w:r>
    </w:p>
    <w:p w14:paraId="2509F24F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决策层：基于感知数据，完成AI视觉识别（货物分类）、SLAM路径规划（最优移动路线）、动作规划（机械臂抓取轨迹）。</w:t>
      </w:r>
    </w:p>
    <w:p w14:paraId="4E2CD0DF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执行层：将决策指令转化为舵机、电机的控制信号，实现设备的物理动作。</w:t>
      </w:r>
    </w:p>
    <w:p w14:paraId="107C0A25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核心功能实现</w:t>
      </w:r>
    </w:p>
    <w:p w14:paraId="1CC13B9C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AI视觉识别</w:t>
      </w:r>
      <w:r>
        <w:rPr>
          <w:rFonts w:hint="eastAsia" w:eastAsia="宋体" w:asciiTheme="minorAscii" w:hAnsiTheme="minorAscii"/>
          <w:sz w:val="24"/>
          <w:lang w:val="en-US" w:eastAsia="zh-CN"/>
        </w:rPr>
        <w:t>：</w:t>
      </w:r>
      <w:r>
        <w:rPr>
          <w:rFonts w:hint="default" w:eastAsia="宋体" w:asciiTheme="minorAscii" w:hAnsiTheme="minorAscii"/>
          <w:sz w:val="24"/>
          <w:lang w:val="en-US" w:eastAsia="zh-CN"/>
        </w:rPr>
        <w:t>基于Python+OpenCV+YOLOv8实现，支持50 +种货物类型识别，通过数据增强（旋转、缩放、亮度调整）提升模型泛化能力，分拣准确率≥95%。</w:t>
      </w:r>
    </w:p>
    <w:p w14:paraId="25DA0FBD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SLAM导航</w:t>
      </w:r>
      <w:r>
        <w:rPr>
          <w:rFonts w:hint="eastAsia" w:eastAsia="宋体" w:asciiTheme="minorAscii" w:hAnsiTheme="minorAscii"/>
          <w:sz w:val="24"/>
          <w:lang w:val="en-US" w:eastAsia="zh-CN"/>
        </w:rPr>
        <w:t>：</w:t>
      </w:r>
      <w:r>
        <w:rPr>
          <w:rFonts w:hint="default" w:eastAsia="宋体" w:asciiTheme="minorAscii" w:hAnsiTheme="minorAscii"/>
          <w:sz w:val="24"/>
          <w:lang w:val="en-US" w:eastAsia="zh-CN"/>
        </w:rPr>
        <w:t>基于ROS2 Humble+Gazebo仿真环境开发，实现同步定位与地图构建，支持动态避障（遇到障碍物时0.3秒内调整路径）。</w:t>
      </w:r>
    </w:p>
    <w:p w14:paraId="6E4475A6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drawing>
          <wp:inline distT="0" distB="0" distL="114300" distR="114300">
            <wp:extent cx="5273040" cy="2868295"/>
            <wp:effectExtent l="0" t="0" r="3810" b="825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B908">
      <w:pPr>
        <w:numPr>
          <w:ilvl w:val="0"/>
          <w:numId w:val="0"/>
        </w:numPr>
        <w:bidi w:val="0"/>
        <w:ind w:left="0" w:leftChars="0"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全自主分拣</w:t>
      </w:r>
      <w:r>
        <w:rPr>
          <w:rFonts w:hint="eastAsia" w:eastAsia="宋体" w:asciiTheme="minorAscii" w:hAnsiTheme="minorAscii"/>
          <w:sz w:val="24"/>
          <w:lang w:val="en-US" w:eastAsia="zh-CN"/>
        </w:rPr>
        <w:t>：</w:t>
      </w:r>
      <w:r>
        <w:rPr>
          <w:rFonts w:hint="default" w:eastAsia="宋体" w:asciiTheme="minorAscii" w:hAnsiTheme="minorAscii"/>
          <w:sz w:val="24"/>
          <w:lang w:val="en-US" w:eastAsia="zh-CN"/>
        </w:rPr>
        <w:t>串联 “货物识别→路径规划→底盘移动→机械臂抓取→目标点摆放” 流程，无需人工干预，单流程耗时≤10 秒。</w:t>
      </w:r>
    </w:p>
    <w:p w14:paraId="2FB80A30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扩展功能</w:t>
      </w:r>
    </w:p>
    <w:p w14:paraId="349847FF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多设备协同</w:t>
      </w:r>
    </w:p>
    <w:p w14:paraId="6C38AA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支持多台机器人通过云端组网，实现货物分拣的任务分配（如按区域划分分拣范围），提升整体效率。</w:t>
      </w:r>
    </w:p>
    <w:p w14:paraId="261FBF5C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异常自修复</w:t>
      </w:r>
    </w:p>
    <w:p w14:paraId="78E3B2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当某模块（如相机）故障时，自动切换备用感知方案（如仅用激光雷达完成基础导航），同时向云端上报故障信息。</w:t>
      </w:r>
    </w:p>
    <w:p w14:paraId="2CB3976A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能耗优化</w:t>
      </w:r>
    </w:p>
    <w:p w14:paraId="10DA14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闲置状态下自动切换低功耗模式（关闭部分传感器、降低CPU主频），功耗降低50%，续航延长至10小时。</w:t>
      </w:r>
    </w:p>
    <w:p w14:paraId="4DE087D0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自定义分拣规则</w:t>
      </w:r>
    </w:p>
    <w:p w14:paraId="05DA48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用户可通过PC端界面设置货物的分拣逻辑（如按尺寸、重量分类），系统自动适配算法参数。</w:t>
      </w:r>
    </w:p>
    <w:p w14:paraId="718A7878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大模型集成设计（智能交互核心）</w:t>
      </w:r>
    </w:p>
    <w:p w14:paraId="0FDCD8E5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采用 “本地端 - 云端” 协同的大模型部署方式</w:t>
      </w:r>
    </w:p>
    <w:p w14:paraId="10EE09E4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本地端：树莓派运行轻量化大模型（如ChatGLM-6B量化版），实现基础交互（如语音指令识别、简单问题回答）。</w:t>
      </w:r>
    </w:p>
    <w:p w14:paraId="79A625A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云端：部署通义千问等大模型，处理复杂交互（如 “优化分拣流程”“分析分拣数据”），本地端与云端通过4G/WiFi传输数据。</w:t>
      </w:r>
    </w:p>
    <w:p w14:paraId="6AD48D1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asciiTheme="minorAscii" w:hAnsiTheme="minorAscii" w:eastAsiaTheme="minorEastAsia"/>
          <w:sz w:val="24"/>
          <w:lang w:val="en-US" w:eastAsia="zh-CN"/>
        </w:rPr>
      </w:pPr>
      <w:r>
        <w:drawing>
          <wp:inline distT="0" distB="0" distL="114300" distR="114300">
            <wp:extent cx="5260975" cy="1920875"/>
            <wp:effectExtent l="0" t="0" r="6350" b="317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FE37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智能交互功能</w:t>
      </w:r>
    </w:p>
    <w:p w14:paraId="60E9329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语音控制：配备麦克风与扬声器，支持语音指令（如 “开始分拣”“返回充电”），语音识别准确率≥90%。</w:t>
      </w:r>
    </w:p>
    <w:p w14:paraId="3F835CF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智能决策辅助：大模型基于历史分拣数据，分析货物的分拣效率瓶颈，提供优化建议（如 “调整货物摆放区域以缩短移动距离”）。</w:t>
      </w:r>
    </w:p>
    <w:p w14:paraId="7C4DAAB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故障诊断：用户描述设备异常后，大模型结合设备运行数据，快速定位故障原因并给出解决方案（如 “舵机卡顿建议检查供电电压”）。</w:t>
      </w:r>
    </w:p>
    <w:p w14:paraId="0262AE7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drawing>
          <wp:inline distT="0" distB="0" distL="114300" distR="114300">
            <wp:extent cx="5273675" cy="706120"/>
            <wp:effectExtent l="0" t="0" r="0" b="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rcRect t="391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0B82F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网络配置设计</w:t>
      </w:r>
    </w:p>
    <w:p w14:paraId="2416DE0E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支持“WiFi+4G”双网络模式，自动切换</w:t>
      </w:r>
    </w:p>
    <w:p w14:paraId="4F7D1BB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WiFi模式：在仓库等有WiFi覆盖的场景下，优先连接本地网络，传输数据（带宽≥100Mbps）。</w:t>
      </w:r>
    </w:p>
    <w:p w14:paraId="643372B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4G模式：在无WiFi场景下，通过4G模块（EC20）连接互联网，保障云端交互与远程监控。</w:t>
      </w:r>
    </w:p>
    <w:p w14:paraId="10DEC2F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</w:pPr>
      <w:r>
        <w:drawing>
          <wp:inline distT="0" distB="0" distL="114300" distR="114300">
            <wp:extent cx="5266690" cy="1188085"/>
            <wp:effectExtent l="0" t="0" r="635" b="254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06D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图3.7网络配置图</w:t>
      </w:r>
    </w:p>
    <w:p w14:paraId="1943F5FC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网络功能</w:t>
      </w:r>
    </w:p>
    <w:p w14:paraId="7C2396B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远程监控：用户通过PC /手机端APP，实时查看机器人的运行状态、分拣数据、位置信息，延迟≤1秒。</w:t>
      </w:r>
    </w:p>
    <w:p w14:paraId="1C1DF74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固件升级：支持OTA在线升级，云端推送新版本固件后，设备自动下载并安装（需用户确认）。</w:t>
      </w:r>
    </w:p>
    <w:p w14:paraId="555B2AD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数据加密：采用AES-256加密算法传输敏感数据（如分拣数据、设备指令），保障数据安全。</w:t>
      </w:r>
    </w:p>
    <w:p w14:paraId="16A8FD25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动作组调用设计</w:t>
      </w:r>
    </w:p>
    <w:p w14:paraId="7582F7F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动作组定义</w:t>
      </w:r>
    </w:p>
    <w:p w14:paraId="397AA56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将机械臂、底盘的常用动作组合为 “动作组”，如 “抓取动作组”（包含 “机械臂伸展→夹爪张开→夹爪闭合→机械臂收缩”）、“移动动作组”（包含 “底盘启动→按路径移动→精准停靠”）。</w:t>
      </w:r>
    </w:p>
    <w:p w14:paraId="1211EEA2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多方式调用</w:t>
      </w:r>
    </w:p>
    <w:p w14:paraId="4E43900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自动调用：系统在分拣流程中，根据感知数据自动触发对应动作组（如识别到货物后，自动调用 “抓取动作组”）。</w:t>
      </w:r>
    </w:p>
    <w:p w14:paraId="36B50EE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手动调用：用户通过PC端界面或遥控器，手动选择动作组执行（用于调试、异常处理）。</w:t>
      </w:r>
    </w:p>
    <w:p w14:paraId="7F04863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定时调用：支持设置定时任务，如 “每天18:00调用‘返回充电动作组’”。</w:t>
      </w:r>
    </w:p>
    <w:p w14:paraId="209521B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联动调用：当满足特定条件（如电量≤20%）时，自动联动调用 “充电动作组”，保障设备续航。</w:t>
      </w:r>
    </w:p>
    <w:p w14:paraId="22EABB54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云平台设计</w:t>
      </w:r>
    </w:p>
    <w:p w14:paraId="630EEBE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平台架构</w:t>
      </w:r>
    </w:p>
    <w:p w14:paraId="784961D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数据采集层：接收机器人上传的运行数据、分拣数据、故障信息。</w:t>
      </w:r>
    </w:p>
    <w:p w14:paraId="7FF723D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数据处理层：对采集的数据进行清洗、分析，生成分拣效率报表、设备健康报告。</w:t>
      </w:r>
    </w:p>
    <w:p w14:paraId="30237F6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应用服务层：向用户提供设备管理、数据统计、远程控制等功能。</w:t>
      </w:r>
    </w:p>
    <w:p w14:paraId="6C36522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核心功能</w:t>
      </w:r>
    </w:p>
    <w:p w14:paraId="4F29389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设备管理：支持多台机器人的集中管理，查看设备在线状态、位置分布，远程下达指令。</w:t>
      </w:r>
    </w:p>
    <w:p w14:paraId="0ACB968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数据统计：自动生成分拣量、准确率、能耗等数据的日报/周报/月报，支持导出Excel格式。</w:t>
      </w:r>
    </w:p>
    <w:p w14:paraId="15CB5BA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故障预警：基于设备运行数据，提前预测故障（如舵机磨损），向用户推送预警信息。</w:t>
      </w:r>
    </w:p>
    <w:p w14:paraId="563C867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eastAsia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算法优化：云端积累大量分拣数据后，优化AI视觉模型与SLAM算法，通过 OTA推送至设备。</w:t>
      </w:r>
    </w:p>
    <w:p w14:paraId="55FBED87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产品的</w:t>
      </w:r>
      <w:r>
        <w:rPr>
          <w:rFonts w:hint="default"/>
          <w:lang w:val="en-US" w:eastAsia="zh-CN"/>
        </w:rPr>
        <w:t>核心功能</w:t>
      </w:r>
      <w:r>
        <w:rPr>
          <w:rFonts w:hint="eastAsia"/>
          <w:lang w:val="en-US" w:eastAsia="zh-CN"/>
        </w:rPr>
        <w:t>与模块</w:t>
      </w:r>
    </w:p>
    <w:p w14:paraId="31D2D2B9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核心功能</w:t>
      </w:r>
    </w:p>
    <w:p w14:paraId="67112AF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全自主分拣：实现 “识别 - 抓取 - 搬运 - 摆放” 全流程自动化，无需人工干预。</w:t>
      </w:r>
    </w:p>
    <w:p w14:paraId="5372BDEC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SLAM自主导航：激光雷达构建环境地图，动态规划路径，定位误差≤5cm，支持动态避障。</w:t>
      </w:r>
    </w:p>
    <w:p w14:paraId="4DD6392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AI精准识别：融合深度相机与单目相机数据，分拣准确率≥95%，支持多SKU货物识别。</w:t>
      </w:r>
    </w:p>
    <w:p w14:paraId="73F58273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智能交互：通过大模型实现语音控制、故障诊断、决策辅助。</w:t>
      </w:r>
    </w:p>
    <w:p w14:paraId="7FDADBC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远程监控：云平台实时监控设备状态，支持数据统计与故障预警。</w:t>
      </w:r>
    </w:p>
    <w:p w14:paraId="139746C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核心模块</w:t>
      </w:r>
      <w:r>
        <w:rPr>
          <w:rFonts w:hint="eastAsia" w:eastAsia="宋体" w:asciiTheme="minorAscii" w:hAnsiTheme="minorAscii"/>
          <w:sz w:val="24"/>
          <w:lang w:val="en-US" w:eastAsia="zh-CN"/>
        </w:rPr>
        <w:t>的功能</w:t>
      </w:r>
    </w:p>
    <w:p w14:paraId="153F3E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0"/>
        <w:jc w:val="center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表3.2 核心模块的功能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47"/>
        <w:gridCol w:w="6519"/>
      </w:tblGrid>
      <w:tr w14:paraId="29FF704E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C22B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A2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功能描述</w:t>
            </w:r>
          </w:p>
        </w:tc>
      </w:tr>
      <w:tr w14:paraId="6A6D35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787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双主控模块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B3B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树莓派 5（AI / 导航）+STM32（底层驱动），实现协同控制</w:t>
            </w:r>
          </w:p>
        </w:tc>
      </w:tr>
      <w:tr w14:paraId="3417959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447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感知模块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491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激光雷达 + 深度相机 + 单目相机，采集环境与货物信息</w:t>
            </w:r>
          </w:p>
        </w:tc>
      </w:tr>
      <w:tr w14:paraId="00502A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F5D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机械臂模块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8F7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6 自由度舵机驱动，实现货物抓取与搬运</w:t>
            </w:r>
          </w:p>
        </w:tc>
      </w:tr>
      <w:tr w14:paraId="53B3A2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7C5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移动底盘模块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90E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履带式全向移动，支持精准停靠与动态避障</w:t>
            </w:r>
          </w:p>
        </w:tc>
      </w:tr>
      <w:tr w14:paraId="25E5AE9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3FE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云平台模块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667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设备管理、数据统计、远程控制</w:t>
            </w:r>
          </w:p>
        </w:tc>
      </w:tr>
    </w:tbl>
    <w:p w14:paraId="18F2B9C9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产品的</w:t>
      </w:r>
      <w:r>
        <w:rPr>
          <w:rFonts w:hint="default"/>
          <w:lang w:val="en-US" w:eastAsia="zh-CN"/>
        </w:rPr>
        <w:t>系统优势</w:t>
      </w:r>
    </w:p>
    <w:p w14:paraId="061E08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技术融合优势：国内率先实现 “AI视觉 + SLAM导航” 深度融合，兼顾分拣精准度与导航灵活性，同类产品难以复制。</w:t>
      </w:r>
    </w:p>
    <w:p w14:paraId="638A1D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成本优势：核心硬件国产化，单台生产成本控制在1.8万元，售价3.98万元，毛利率≥55%，性价比高于行业平均水平。</w:t>
      </w:r>
    </w:p>
    <w:p w14:paraId="797FF8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绿色优势：采用低功耗硬件与可回收材料，单台年减碳超8kg，契合工业绿色转型政策。</w:t>
      </w:r>
    </w:p>
    <w:p w14:paraId="65D0C6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场景适配优势：支持仓储、车间、快递站点等多场景快速切换，无需复杂调试，降低中小微企业使用门槛。</w:t>
      </w:r>
    </w:p>
    <w:p w14:paraId="1C7FA5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服务优势：提供2年质保、7×24小时运维、免费回收服务，降低用户使用成本。</w:t>
      </w:r>
    </w:p>
    <w:p w14:paraId="3316F51D">
      <w:pPr>
        <w:pStyle w:val="4"/>
        <w:numPr>
          <w:ilvl w:val="0"/>
          <w:numId w:val="1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产品的工作流程</w:t>
      </w:r>
    </w:p>
    <w:p w14:paraId="73451212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货物识别</w:t>
      </w:r>
    </w:p>
    <w:p w14:paraId="792912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深度相机与单目相机采集货物图像，AI算法快速识别货物类型、尺寸与位置。</w:t>
      </w:r>
    </w:p>
    <w:p w14:paraId="1B2CF6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69230" cy="2442210"/>
            <wp:effectExtent l="0" t="0" r="7620" b="571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812DF">
      <w:pPr>
        <w:bidi w:val="0"/>
        <w:rPr>
          <w:lang w:val="en-US" w:eastAsia="zh-CN"/>
        </w:rPr>
      </w:pPr>
    </w:p>
    <w:p w14:paraId="28C2A03A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图3.8颜色识别与追踪</w:t>
      </w:r>
    </w:p>
    <w:p w14:paraId="259934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drawing>
          <wp:inline distT="0" distB="0" distL="114300" distR="114300">
            <wp:extent cx="5267325" cy="2400300"/>
            <wp:effectExtent l="0" t="0" r="0" b="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F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图3.9二维码识别</w:t>
      </w:r>
    </w:p>
    <w:p w14:paraId="735BF6A7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路径规划</w:t>
      </w:r>
    </w:p>
    <w:p w14:paraId="37E9A7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激光雷达扫描环境，构建栅格地图，SLAM算法规划从当前位置到目标区域的最优路径。</w:t>
      </w:r>
      <w:r>
        <w:rPr>
          <w:rFonts w:hint="eastAsia" w:eastAsia="宋体" w:asciiTheme="minorAscii" w:hAnsiTheme="minorAscii"/>
          <w:sz w:val="24"/>
          <w:lang w:val="en-US" w:eastAsia="zh-CN"/>
        </w:rPr>
        <w:t>也支持巡线，走固定路线。</w:t>
      </w:r>
    </w:p>
    <w:p w14:paraId="41F7C7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  <w:r>
        <w:drawing>
          <wp:inline distT="0" distB="0" distL="114300" distR="114300">
            <wp:extent cx="5273040" cy="2491105"/>
            <wp:effectExtent l="0" t="0" r="3810" b="444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C5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图3.10 取色巡线</w:t>
      </w:r>
    </w:p>
    <w:p w14:paraId="5B7CD46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自主移动</w:t>
      </w:r>
    </w:p>
    <w:p w14:paraId="52BCF0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底盘按照规划路径移动，实时检测障碍物并动态调整，精准停靠至货物位置。</w:t>
      </w:r>
    </w:p>
    <w:p w14:paraId="7CD1C50A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分拣抓取</w:t>
      </w:r>
    </w:p>
    <w:p w14:paraId="5AF412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舵机驱动机械臂按照预设轨迹抓取货物，确保抓取稳定性。</w:t>
      </w:r>
    </w:p>
    <w:p w14:paraId="2A13EFEC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搬运摆放</w:t>
      </w:r>
    </w:p>
    <w:p w14:paraId="624A7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将货物搬运至指定区域，按照预设规则整齐摆放，完成后返回待分拣区域，启动下一轮作业。</w:t>
      </w:r>
    </w:p>
    <w:p w14:paraId="2461CAC6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16"/>
          <w:lang w:val="en-US" w:eastAsia="zh-CN" w:bidi="ar"/>
        </w:rPr>
        <w:t>数据同步</w:t>
      </w:r>
    </w:p>
    <w:p w14:paraId="6A86E7E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Chars="0" w:right="0" w:rightChars="0" w:firstLine="480" w:firstLineChars="200"/>
        <w:jc w:val="left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实时上传分拣数量、运行状态、能耗数据至云端，支持用户远程查看与分析。</w:t>
      </w:r>
    </w:p>
    <w:p w14:paraId="58265B79">
      <w:pPr>
        <w:pStyle w:val="3"/>
        <w:numPr>
          <w:ilvl w:val="0"/>
          <w:numId w:val="2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28" w:name="_Toc10657"/>
      <w:bookmarkStart w:id="29" w:name="_Toc14936"/>
      <w:r>
        <w:rPr>
          <w:rFonts w:hint="default"/>
          <w:lang w:val="en-US" w:eastAsia="zh-CN"/>
        </w:rPr>
        <w:t>配套服务体系</w:t>
      </w:r>
      <w:bookmarkEnd w:id="28"/>
      <w:bookmarkEnd w:id="29"/>
    </w:p>
    <w:p w14:paraId="72C770EA">
      <w:pPr>
        <w:pStyle w:val="4"/>
        <w:numPr>
          <w:ilvl w:val="0"/>
          <w:numId w:val="25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云端服务</w:t>
      </w:r>
    </w:p>
    <w:p w14:paraId="21A92BE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设备</w:t>
      </w:r>
      <w:r>
        <w:rPr>
          <w:rFonts w:hint="default" w:eastAsia="宋体" w:asciiTheme="minorAscii" w:hAnsiTheme="minorAscii"/>
          <w:sz w:val="24"/>
          <w:lang w:val="en-US" w:eastAsia="zh-CN"/>
        </w:rPr>
        <w:t>管理</w:t>
      </w:r>
    </w:p>
    <w:p w14:paraId="6DDC0C4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远程监控机器人运行状态、能耗数据、故障预警，支持固件在线升级与参数配置。</w:t>
      </w:r>
    </w:p>
    <w:p w14:paraId="42503BF2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数据统计</w:t>
      </w:r>
    </w:p>
    <w:p w14:paraId="7374B91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自动生成分拣效率、货物类型分布、能耗分析等报表，为企业运营决策提供数据支撑。</w:t>
      </w:r>
    </w:p>
    <w:p w14:paraId="070EBA3C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个性化定制</w:t>
      </w:r>
    </w:p>
    <w:p w14:paraId="6788367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根据客户仓储布局、货物特征，定制分拣逻辑与路径规划方案。</w:t>
      </w:r>
    </w:p>
    <w:p w14:paraId="35B18451">
      <w:pPr>
        <w:pStyle w:val="4"/>
        <w:numPr>
          <w:ilvl w:val="0"/>
          <w:numId w:val="2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售后与回收服务</w:t>
      </w:r>
    </w:p>
    <w:p w14:paraId="33C1EAFA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安装调试</w:t>
      </w:r>
    </w:p>
    <w:p w14:paraId="15A52FA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提供免费上门安装、环境适配与操作培训，确保设备快速投入使用。</w:t>
      </w:r>
    </w:p>
    <w:p w14:paraId="191742A4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质保服务</w:t>
      </w:r>
    </w:p>
    <w:p w14:paraId="504E4B49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核心部件2年质保，整机1年免费维修，7×24小时在线技术支持。</w:t>
      </w:r>
    </w:p>
    <w:p w14:paraId="75B6B4A7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运维保障</w:t>
      </w:r>
    </w:p>
    <w:p w14:paraId="7A0303D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定期上门巡检、保养设备，建立设备健康档案，降低故障发生率。</w:t>
      </w:r>
    </w:p>
    <w:p w14:paraId="5F750C75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回收服务</w:t>
      </w:r>
    </w:p>
    <w:p w14:paraId="166DD30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产品生命周期结束后，提供免费回收服务，核心部件翻新再利用或环保处理。</w:t>
      </w:r>
    </w:p>
    <w:p w14:paraId="00AC8A5E">
      <w:pPr>
        <w:pStyle w:val="4"/>
        <w:numPr>
          <w:ilvl w:val="0"/>
          <w:numId w:val="25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定制服务</w:t>
      </w:r>
    </w:p>
    <w:p w14:paraId="68720AD8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功能定制</w:t>
      </w:r>
    </w:p>
    <w:p w14:paraId="3455BD8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为特殊行业（如冷链、危化品）定制专用分拣搬运功能，适配特殊环境需求。</w:t>
      </w:r>
    </w:p>
    <w:p w14:paraId="7C4FB8E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场景适配</w:t>
      </w:r>
    </w:p>
    <w:p w14:paraId="023FC2AB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针对大型仓储、复杂生产线等场景，提供多设备协同作业解决方案。</w:t>
      </w:r>
    </w:p>
    <w:p w14:paraId="3098ED4A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接口对接</w:t>
      </w:r>
    </w:p>
    <w:p w14:paraId="7E08B9CA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支持与客户现有WMS、ERP系统对接，实现数据互联互通。</w:t>
      </w:r>
    </w:p>
    <w:p w14:paraId="7A169C24">
      <w:pPr>
        <w:pStyle w:val="2"/>
        <w:bidi w:val="0"/>
        <w:rPr>
          <w:rFonts w:hint="default"/>
          <w:lang w:val="en-US" w:eastAsia="zh-CN"/>
        </w:rPr>
      </w:pPr>
      <w:bookmarkStart w:id="30" w:name="_Toc9744"/>
      <w:bookmarkStart w:id="31" w:name="_Toc16810"/>
      <w:r>
        <w:rPr>
          <w:rFonts w:hint="default"/>
          <w:lang w:val="en-US" w:eastAsia="zh-CN"/>
        </w:rPr>
        <w:t>系统调试与结果</w:t>
      </w:r>
      <w:bookmarkEnd w:id="30"/>
      <w:bookmarkEnd w:id="31"/>
    </w:p>
    <w:p w14:paraId="4DB039DF">
      <w:pPr>
        <w:pStyle w:val="3"/>
        <w:numPr>
          <w:ilvl w:val="0"/>
          <w:numId w:val="29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32" w:name="_Toc5295"/>
      <w:bookmarkStart w:id="33" w:name="_Toc20768"/>
      <w:r>
        <w:rPr>
          <w:rFonts w:hint="default"/>
          <w:lang w:val="en-US" w:eastAsia="zh-CN"/>
        </w:rPr>
        <w:t>系统调试</w:t>
      </w:r>
      <w:bookmarkEnd w:id="32"/>
      <w:bookmarkEnd w:id="33"/>
    </w:p>
    <w:p w14:paraId="15CB7980">
      <w:pPr>
        <w:pStyle w:val="4"/>
        <w:numPr>
          <w:ilvl w:val="0"/>
          <w:numId w:val="3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硬件调试</w:t>
      </w:r>
    </w:p>
    <w:p w14:paraId="7FD1EAFE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模块单独调试</w:t>
      </w:r>
    </w:p>
    <w:p w14:paraId="504A9B3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分别测试激光雷达扫描精度、深度相机识别准确率、舵机抓取稳定性、底盘移动精度，确保各模块性能达标。</w:t>
      </w:r>
    </w:p>
    <w:p w14:paraId="3477A0F1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集成调试</w:t>
      </w:r>
    </w:p>
    <w:p w14:paraId="7B26A8F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测试各模块协同工作稳定性，验证供电系统负载能力，优化布线减少信号干扰。</w:t>
      </w:r>
    </w:p>
    <w:p w14:paraId="7200EAA1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环境适配调试</w:t>
      </w:r>
    </w:p>
    <w:p w14:paraId="61D2FA8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在模拟仓储、车间、快递站点等不同场景下，测试设备适应能力，调整算法参数。</w:t>
      </w:r>
    </w:p>
    <w:p w14:paraId="565CC72A">
      <w:pPr>
        <w:pStyle w:val="4"/>
        <w:numPr>
          <w:ilvl w:val="0"/>
          <w:numId w:val="3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软件调试</w:t>
      </w:r>
    </w:p>
    <w:p w14:paraId="41F84562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核心功能调试</w:t>
      </w:r>
    </w:p>
    <w:p w14:paraId="6FCB157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测试 AI 视觉识别准确率、SLAM 导航定位精度、避障响应速度、分拣流程完整性。</w:t>
      </w:r>
    </w:p>
    <w:p w14:paraId="1F0E3D19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性能优化</w:t>
      </w:r>
    </w:p>
    <w:p w14:paraId="59F8F27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优化算法运行效率，降低系统延迟，提升设备连续运行稳定性。</w:t>
      </w:r>
    </w:p>
    <w:p w14:paraId="6BD2F2D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压力测试</w:t>
      </w:r>
    </w:p>
    <w:p w14:paraId="7262CC2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连续 72 小时满负荷运行，测试设备故障率、分拣效率稳定性、能耗变化。</w:t>
      </w:r>
    </w:p>
    <w:p w14:paraId="585BB0EB">
      <w:pPr>
        <w:pStyle w:val="4"/>
        <w:numPr>
          <w:ilvl w:val="0"/>
          <w:numId w:val="3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网络与动作组专项调试</w:t>
      </w:r>
    </w:p>
    <w:p w14:paraId="20DDD8EC">
      <w:pPr>
        <w:keepNext w:val="0"/>
        <w:keepLines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outlineLvl w:val="9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表4.1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网络与动作组专项调试</w:t>
      </w:r>
    </w:p>
    <w:p w14:paraId="2CD0BDBD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5"/>
        <w:gridCol w:w="4259"/>
        <w:gridCol w:w="2512"/>
      </w:tblGrid>
      <w:tr w14:paraId="05008B2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613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调试项目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171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测试方法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1E8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合格标准</w:t>
            </w:r>
          </w:p>
        </w:tc>
      </w:tr>
      <w:tr w14:paraId="33BB92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6F95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识别准确率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C90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测试 50 种不同类型、尺寸的货物，统计识别成功次数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4E4D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≥95%</w:t>
            </w:r>
          </w:p>
        </w:tc>
      </w:tr>
      <w:tr w14:paraId="63AE6E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AC8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导航定位精度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91E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在 10×10m 模拟仓储环境中，记录设备停靠偏差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DEF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≤5cm</w:t>
            </w:r>
          </w:p>
        </w:tc>
      </w:tr>
      <w:tr w14:paraId="54DE89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532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避障响应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CDDD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设置 3 种不同类型障碍物，测试设备避障反应时间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01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≤0.3 秒</w:t>
            </w:r>
          </w:p>
        </w:tc>
      </w:tr>
      <w:tr w14:paraId="7FBDF15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7C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连续运行稳定性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5D4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72 小时满负荷分拣，记录故障次数与分拣效率波动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2B5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无故障，效率波动≤5%</w:t>
            </w:r>
          </w:p>
        </w:tc>
      </w:tr>
      <w:tr w14:paraId="16257E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87E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能耗测试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C44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连续运行 8 小时，记录耗电量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D383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≤6kWh</w:t>
            </w:r>
          </w:p>
        </w:tc>
      </w:tr>
    </w:tbl>
    <w:p w14:paraId="46A6637D">
      <w:pPr>
        <w:pStyle w:val="3"/>
        <w:numPr>
          <w:ilvl w:val="0"/>
          <w:numId w:val="29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34" w:name="_Toc8508"/>
      <w:bookmarkStart w:id="35" w:name="_Toc6962"/>
      <w:r>
        <w:rPr>
          <w:rFonts w:hint="default"/>
          <w:lang w:val="en-US" w:eastAsia="zh-CN"/>
        </w:rPr>
        <w:t>测试结果</w:t>
      </w:r>
      <w:bookmarkEnd w:id="34"/>
      <w:bookmarkEnd w:id="35"/>
    </w:p>
    <w:p w14:paraId="6AAEC413">
      <w:pPr>
        <w:pStyle w:val="4"/>
        <w:numPr>
          <w:ilvl w:val="0"/>
          <w:numId w:val="3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基本性能测试</w:t>
      </w:r>
    </w:p>
    <w:p w14:paraId="7ABCCC51">
      <w:pPr>
        <w:keepNext w:val="0"/>
        <w:keepLines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表4.2</w:t>
      </w:r>
      <w:r>
        <w:rPr>
          <w:rFonts w:hint="default" w:eastAsia="宋体" w:asciiTheme="minorAscii" w:hAnsiTheme="minorAscii"/>
          <w:sz w:val="24"/>
          <w:lang w:val="en-US" w:eastAsia="zh-CN"/>
        </w:rPr>
        <w:t>基本性能测试</w:t>
      </w: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4"/>
        <w:gridCol w:w="3487"/>
        <w:gridCol w:w="1995"/>
        <w:gridCol w:w="1560"/>
      </w:tblGrid>
      <w:tr w14:paraId="0D69BB7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5E2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测试项目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C0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测试条件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EA9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实际结果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E01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合格标准</w:t>
            </w:r>
          </w:p>
        </w:tc>
      </w:tr>
      <w:tr w14:paraId="79FA49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CF9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分拣准确率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76E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50 种货物（尺寸 3×3cm-30×30cm）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07D8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96.8%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9BF5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≥95%</w:t>
            </w:r>
          </w:p>
        </w:tc>
      </w:tr>
      <w:tr w14:paraId="45D9FD2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389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导航定位精度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0FD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10×10m 模拟仓储，5 个停靠点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A9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平均偏差 3.2cm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3C94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≤5cm</w:t>
            </w:r>
          </w:p>
        </w:tc>
      </w:tr>
      <w:tr w14:paraId="1DFA63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FFFB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避障响应时间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875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静态、动态障碍物各 3 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14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平均 0.21 秒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890E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≤0.3 秒</w:t>
            </w:r>
          </w:p>
        </w:tc>
      </w:tr>
      <w:tr w14:paraId="0EAB3C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46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连续运行时间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E31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满负荷分拣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B98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72 小时无故障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EF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≥48 小时</w:t>
            </w:r>
          </w:p>
        </w:tc>
      </w:tr>
      <w:tr w14:paraId="4649F2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672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日均分拣量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95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8 小时连续运行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906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2150 件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3F8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≥2000 件</w:t>
            </w:r>
          </w:p>
        </w:tc>
      </w:tr>
      <w:tr w14:paraId="69D8F3A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0C7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续航时间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CE3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标准工况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B57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8.5 小时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A546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≥8 小时</w:t>
            </w:r>
          </w:p>
        </w:tc>
      </w:tr>
      <w:tr w14:paraId="18385E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823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能耗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1A1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连续运行 8 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66F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5.7kWh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576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16"/>
                <w:lang w:val="en-US" w:eastAsia="zh-CN" w:bidi="ar"/>
              </w:rPr>
              <w:t>≤6kWh</w:t>
            </w:r>
          </w:p>
        </w:tc>
      </w:tr>
    </w:tbl>
    <w:p w14:paraId="2A4A4FD7">
      <w:pPr>
        <w:keepNext w:val="0"/>
        <w:keepLines w:val="0"/>
        <w:pageBreakBefore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outlineLvl w:val="9"/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</w:pPr>
    </w:p>
    <w:p w14:paraId="05218D9A">
      <w:pPr>
        <w:pStyle w:val="4"/>
        <w:numPr>
          <w:ilvl w:val="0"/>
          <w:numId w:val="3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核心功能测试</w:t>
      </w:r>
    </w:p>
    <w:p w14:paraId="2424A024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全自主分拣</w:t>
      </w:r>
    </w:p>
    <w:p w14:paraId="659C61C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成功实现</w:t>
      </w:r>
      <w:r>
        <w:rPr>
          <w:rFonts w:hint="eastAsia" w:eastAsia="宋体" w:asciiTheme="minorAscii" w:hAnsiTheme="minorAscii"/>
          <w:sz w:val="24"/>
          <w:lang w:val="en-US" w:eastAsia="zh-CN"/>
        </w:rPr>
        <w:t>“</w:t>
      </w:r>
      <w:r>
        <w:rPr>
          <w:rFonts w:hint="default" w:eastAsia="宋体" w:asciiTheme="minorAscii" w:hAnsiTheme="minorAscii"/>
          <w:sz w:val="24"/>
          <w:lang w:val="en-US" w:eastAsia="zh-CN"/>
        </w:rPr>
        <w:t>识别 - 抓取 - 搬运 - 摆放</w:t>
      </w:r>
      <w:r>
        <w:rPr>
          <w:rFonts w:hint="eastAsia" w:eastAsia="宋体" w:asciiTheme="minorAscii" w:hAnsiTheme="minorAscii"/>
          <w:sz w:val="24"/>
          <w:lang w:val="en-US" w:eastAsia="zh-CN"/>
        </w:rPr>
        <w:t>”</w:t>
      </w:r>
      <w:r>
        <w:rPr>
          <w:rFonts w:hint="default" w:eastAsia="宋体" w:asciiTheme="minorAscii" w:hAnsiTheme="minorAscii"/>
          <w:sz w:val="24"/>
          <w:lang w:val="en-US" w:eastAsia="zh-CN"/>
        </w:rPr>
        <w:t>全流程自动化，无人工干预情况下稳定运行，分拣准确率达96.8%。</w:t>
      </w:r>
    </w:p>
    <w:p w14:paraId="6375B448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动态避障</w:t>
      </w:r>
    </w:p>
    <w:p w14:paraId="3DDF2DE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在人员走动、临时障碍物等动态环境中，设备可快速识别并调整路径，避障成功率100%。</w:t>
      </w:r>
    </w:p>
    <w:p w14:paraId="4F543811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多场景适配</w:t>
      </w:r>
    </w:p>
    <w:p w14:paraId="7E67DDA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在仓储货架、车间流水线、快递分拣台等不同场景下，无需调试即可快速适配，分拣效率稳定。</w:t>
      </w:r>
    </w:p>
    <w:p w14:paraId="5003D081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5" w:leftChars="0" w:hanging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远程监控</w:t>
      </w:r>
    </w:p>
    <w:p w14:paraId="45AF5D3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通过APP实时查看设备运行状态、分拣数据，远程下达作业指令，响应延迟≤1秒。</w:t>
      </w:r>
    </w:p>
    <w:p w14:paraId="2943D81C">
      <w:pPr>
        <w:pStyle w:val="4"/>
        <w:numPr>
          <w:ilvl w:val="0"/>
          <w:numId w:val="3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稳定性测试</w:t>
      </w:r>
    </w:p>
    <w:p w14:paraId="2C20412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连续运行72小时测试：硬件无故障，网络连接稳定；软件功能正常，无崩溃或卡顿；交互响应与动作执行保持稳定性能。</w:t>
      </w:r>
    </w:p>
    <w:p w14:paraId="4DBBF78A">
      <w:pPr>
        <w:pStyle w:val="2"/>
        <w:bidi w:val="0"/>
        <w:rPr>
          <w:rFonts w:hint="default"/>
          <w:lang w:val="en-US" w:eastAsia="zh-CN"/>
        </w:rPr>
      </w:pPr>
      <w:bookmarkStart w:id="36" w:name="_Toc22052"/>
      <w:bookmarkStart w:id="37" w:name="_Toc10544"/>
      <w:r>
        <w:rPr>
          <w:rFonts w:hint="default"/>
          <w:lang w:val="en-US" w:eastAsia="zh-CN"/>
        </w:rPr>
        <w:t>商业模式</w:t>
      </w:r>
      <w:bookmarkEnd w:id="36"/>
      <w:bookmarkEnd w:id="37"/>
    </w:p>
    <w:p w14:paraId="7F8A39FD">
      <w:pPr>
        <w:pStyle w:val="3"/>
        <w:numPr>
          <w:ilvl w:val="0"/>
          <w:numId w:val="35"/>
        </w:numPr>
        <w:bidi w:val="0"/>
        <w:rPr>
          <w:rFonts w:hint="default"/>
          <w:lang w:val="en-US" w:eastAsia="zh-CN"/>
        </w:rPr>
      </w:pPr>
      <w:bookmarkStart w:id="38" w:name="_Toc4685"/>
      <w:bookmarkStart w:id="39" w:name="_Toc9194"/>
      <w:r>
        <w:rPr>
          <w:rFonts w:hint="default"/>
          <w:lang w:val="en-US" w:eastAsia="zh-CN"/>
        </w:rPr>
        <w:t>核心商业模式：“</w:t>
      </w:r>
      <w:r>
        <w:rPr>
          <w:rFonts w:hint="eastAsia"/>
          <w:lang w:val="en-US" w:eastAsia="zh-CN"/>
        </w:rPr>
        <w:t>硬件</w:t>
      </w:r>
      <w:r>
        <w:rPr>
          <w:rFonts w:hint="default"/>
          <w:lang w:val="en-US" w:eastAsia="zh-CN"/>
        </w:rPr>
        <w:t xml:space="preserve"> + </w:t>
      </w:r>
      <w:r>
        <w:rPr>
          <w:rFonts w:hint="eastAsia"/>
          <w:lang w:val="en-US" w:eastAsia="zh-CN"/>
        </w:rPr>
        <w:t>软件</w:t>
      </w:r>
      <w:r>
        <w:rPr>
          <w:rFonts w:hint="default"/>
          <w:lang w:val="en-US" w:eastAsia="zh-CN"/>
        </w:rPr>
        <w:t xml:space="preserve"> + </w:t>
      </w:r>
      <w:r>
        <w:rPr>
          <w:rFonts w:hint="eastAsia"/>
          <w:lang w:val="en-US" w:eastAsia="zh-CN"/>
        </w:rPr>
        <w:t>服务</w:t>
      </w:r>
      <w:r>
        <w:rPr>
          <w:rFonts w:hint="default"/>
          <w:lang w:val="en-US" w:eastAsia="zh-CN"/>
        </w:rPr>
        <w:t>” 三位一体</w:t>
      </w:r>
      <w:bookmarkEnd w:id="38"/>
      <w:bookmarkEnd w:id="39"/>
    </w:p>
    <w:p w14:paraId="25EE275E">
      <w:pPr>
        <w:pStyle w:val="4"/>
        <w:numPr>
          <w:ilvl w:val="0"/>
          <w:numId w:val="3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产品销售模式</w:t>
      </w:r>
    </w:p>
    <w:p w14:paraId="01962F0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通过线上电商平台、线下经销商渠道，面向中小微企业销售标准化产品，定价3.98万元/台。针对物流枢纽、大型制造企业等客户，提供批量采购优惠（10 台以上享9折，50台以上享8折）。为特殊行业客户提供定制化产品，根据功能需求溢价20%-50%。</w:t>
      </w:r>
    </w:p>
    <w:p w14:paraId="6690E1BC">
      <w:pPr>
        <w:pStyle w:val="4"/>
        <w:numPr>
          <w:ilvl w:val="0"/>
          <w:numId w:val="3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服务增值模式</w:t>
      </w:r>
    </w:p>
    <w:p w14:paraId="765E6658">
      <w:pPr>
        <w:numPr>
          <w:ilvl w:val="0"/>
          <w:numId w:val="37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云端会员服务基础版</w:t>
      </w:r>
    </w:p>
    <w:p w14:paraId="63D34CD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免费提供设备控制、数据统计等基础功能，随硬件赠送。</w:t>
      </w:r>
    </w:p>
    <w:p w14:paraId="585C07F2">
      <w:pPr>
        <w:numPr>
          <w:ilvl w:val="0"/>
          <w:numId w:val="37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云端会员服务</w:t>
      </w:r>
      <w:r>
        <w:rPr>
          <w:rFonts w:hint="eastAsia" w:eastAsia="宋体" w:asciiTheme="minorAscii" w:hAnsiTheme="minorAscii"/>
          <w:b w:val="0"/>
          <w:bCs w:val="0"/>
          <w:sz w:val="24"/>
          <w:lang w:val="en-US" w:eastAsia="zh-CN"/>
        </w:rPr>
        <w:t>企业</w:t>
      </w: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版</w:t>
      </w:r>
    </w:p>
    <w:p w14:paraId="7AFE6626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年费2000元/台，提供高级数据analytics、多设备协同管理、系统接口对接等增值功能。</w:t>
      </w:r>
    </w:p>
    <w:p w14:paraId="19D2A125">
      <w:pPr>
        <w:pStyle w:val="4"/>
        <w:numPr>
          <w:ilvl w:val="0"/>
          <w:numId w:val="3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模式</w:t>
      </w:r>
    </w:p>
    <w:p w14:paraId="7C2E13D4">
      <w:pPr>
        <w:numPr>
          <w:ilvl w:val="0"/>
          <w:numId w:val="38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基础运维</w:t>
      </w:r>
    </w:p>
    <w:p w14:paraId="0EEDFE02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免费提供2年质保、7×24小时在线技术支持、定期设备巡检。</w:t>
      </w:r>
    </w:p>
    <w:p w14:paraId="57C20FFC">
      <w:pPr>
        <w:numPr>
          <w:ilvl w:val="0"/>
          <w:numId w:val="38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增值运维</w:t>
      </w:r>
    </w:p>
    <w:p w14:paraId="48B31EC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提供上门维修（超出质保期收费）、设备升级改造、操作人员培训等服务，按次或年度收费。</w:t>
      </w:r>
    </w:p>
    <w:p w14:paraId="49B6F258">
      <w:pPr>
        <w:numPr>
          <w:ilvl w:val="0"/>
          <w:numId w:val="38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绿色回收服务</w:t>
      </w:r>
    </w:p>
    <w:p w14:paraId="07F5A14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产品生命周期结束后，提供免费回收服务，回收后给予新设备采购折扣（最高10%）。</w:t>
      </w:r>
    </w:p>
    <w:p w14:paraId="0CE49F94">
      <w:pPr>
        <w:pStyle w:val="3"/>
        <w:numPr>
          <w:ilvl w:val="0"/>
          <w:numId w:val="35"/>
        </w:numPr>
        <w:bidi w:val="0"/>
        <w:rPr>
          <w:rFonts w:hint="default"/>
          <w:lang w:val="en-US" w:eastAsia="zh-CN"/>
        </w:rPr>
      </w:pPr>
      <w:bookmarkStart w:id="40" w:name="_Toc19847"/>
      <w:bookmarkStart w:id="41" w:name="_Toc18853"/>
      <w:r>
        <w:rPr>
          <w:rFonts w:hint="default"/>
          <w:lang w:val="en-US" w:eastAsia="zh-CN"/>
        </w:rPr>
        <w:t>市场价值</w:t>
      </w:r>
      <w:r>
        <w:rPr>
          <w:rFonts w:hint="eastAsia"/>
          <w:lang w:val="en-US" w:eastAsia="zh-CN"/>
        </w:rPr>
        <w:t>与</w:t>
      </w:r>
      <w:r>
        <w:rPr>
          <w:rFonts w:hint="default"/>
          <w:lang w:val="en-US" w:eastAsia="zh-CN"/>
        </w:rPr>
        <w:t>未来展望</w:t>
      </w:r>
      <w:bookmarkEnd w:id="40"/>
      <w:bookmarkEnd w:id="41"/>
    </w:p>
    <w:p w14:paraId="55FE4D43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市场价值</w:t>
      </w:r>
    </w:p>
    <w:p w14:paraId="728B3F3D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帮助企业降本增效，单台设备年节省人力成本15-25万元，分拣效率提升 150%以上。推动工业物流自动化升级，降低中小微企业自动化转型门槛，助力行业数字化转型。践行绿色工业理念，通过低功耗、可回收设计，为工业领域碳减排提供切实可行的解决方案。</w:t>
      </w:r>
    </w:p>
    <w:p w14:paraId="05D8BF14">
      <w:pPr>
        <w:pStyle w:val="4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未来展望</w:t>
      </w:r>
    </w:p>
    <w:p w14:paraId="0FF145AD">
      <w:pPr>
        <w:numPr>
          <w:ilvl w:val="0"/>
          <w:numId w:val="39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功能升级</w:t>
      </w:r>
    </w:p>
    <w:p w14:paraId="493D5F78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增加货物重量识别、多机械臂协同作业、无人叉车对接等功能，拓展应用场景。</w:t>
      </w:r>
    </w:p>
    <w:p w14:paraId="024FC6C8">
      <w:pPr>
        <w:numPr>
          <w:ilvl w:val="0"/>
          <w:numId w:val="39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技术迭代</w:t>
      </w:r>
    </w:p>
    <w:p w14:paraId="3F657537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优化 AI 视觉算法，提升复杂环境下识别准确率；升级 SLAM 导航系统，支持更大范围仓储环境适配。</w:t>
      </w:r>
    </w:p>
    <w:p w14:paraId="5B8E567F">
      <w:pPr>
        <w:numPr>
          <w:ilvl w:val="0"/>
          <w:numId w:val="39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场景拓展</w:t>
      </w:r>
    </w:p>
    <w:p w14:paraId="29A4EFDE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从工业仓储延伸至新零售门店补货、社区团购配送分拣、医药冷链搬运等场景。</w:t>
      </w:r>
    </w:p>
    <w:p w14:paraId="3E3DBA1D">
      <w:pPr>
        <w:numPr>
          <w:ilvl w:val="0"/>
          <w:numId w:val="39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生态构建</w:t>
      </w:r>
    </w:p>
    <w:p w14:paraId="5E7C9B2F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textAlignment w:val="auto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搭建工业物流智能装备生态平台，整合上下游资源，提供 “设备 + 软件 + 服务 + 数据” 一体化解决方案。</w:t>
      </w:r>
    </w:p>
    <w:p w14:paraId="586BB405">
      <w:pPr>
        <w:pStyle w:val="2"/>
        <w:bidi w:val="0"/>
        <w:rPr>
          <w:rFonts w:hint="default"/>
          <w:lang w:val="en-US" w:eastAsia="zh-CN"/>
        </w:rPr>
      </w:pPr>
      <w:bookmarkStart w:id="42" w:name="_Toc26792"/>
      <w:bookmarkStart w:id="43" w:name="_Toc28074"/>
      <w:r>
        <w:rPr>
          <w:rFonts w:hint="default"/>
          <w:lang w:val="en-US" w:eastAsia="zh-CN"/>
        </w:rPr>
        <w:t>公司发展战略</w:t>
      </w:r>
      <w:bookmarkEnd w:id="42"/>
      <w:bookmarkEnd w:id="43"/>
    </w:p>
    <w:p w14:paraId="3EDDE086">
      <w:pPr>
        <w:pStyle w:val="3"/>
        <w:numPr>
          <w:ilvl w:val="0"/>
          <w:numId w:val="4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44" w:name="_Toc7436"/>
      <w:bookmarkStart w:id="45" w:name="_Toc32045"/>
      <w:r>
        <w:rPr>
          <w:rFonts w:hint="default"/>
          <w:lang w:val="en-US" w:eastAsia="zh-CN"/>
        </w:rPr>
        <w:t>战略核心目标</w:t>
      </w:r>
      <w:bookmarkEnd w:id="44"/>
      <w:bookmarkEnd w:id="45"/>
    </w:p>
    <w:p w14:paraId="571A5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5年内成为全自主分拣搬运机器人细分领域龙头企业，实现产品市场占有率、技术专利数量、客户满意度行业领先，构建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硬件 - 软件 - 服务 - 生态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一体化商业模式。</w:t>
      </w:r>
    </w:p>
    <w:p w14:paraId="00CC2E17">
      <w:pPr>
        <w:pStyle w:val="3"/>
        <w:numPr>
          <w:ilvl w:val="0"/>
          <w:numId w:val="4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46" w:name="_Toc27233"/>
      <w:bookmarkStart w:id="47" w:name="_Toc27127"/>
      <w:r>
        <w:rPr>
          <w:rFonts w:hint="default"/>
          <w:lang w:val="en-US" w:eastAsia="zh-CN"/>
        </w:rPr>
        <w:t>阶段性发展战略</w:t>
      </w:r>
      <w:bookmarkEnd w:id="46"/>
      <w:bookmarkEnd w:id="47"/>
    </w:p>
    <w:p w14:paraId="1A432C0B">
      <w:pPr>
        <w:pStyle w:val="4"/>
        <w:numPr>
          <w:ilvl w:val="0"/>
          <w:numId w:val="4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初创期（第1-2 年）</w:t>
      </w:r>
    </w:p>
    <w:p w14:paraId="15E5B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完成第一代产品量产上市，聚焦长三角、珠三角核心区域，实现累计销量500台，与20家以上经销商建立合作。优化产品性能，申请15项以上核心专利（发明专利5项、实用新型专利10项）。搭建标准化生产与售后服务体系，建立3-5家核心供应商合作关系，申请高新技术企业认证。</w:t>
      </w:r>
    </w:p>
    <w:p w14:paraId="13DA600B">
      <w:pPr>
        <w:pStyle w:val="4"/>
        <w:numPr>
          <w:ilvl w:val="0"/>
          <w:numId w:val="4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成长期（第3-4年）</w:t>
      </w:r>
    </w:p>
    <w:p w14:paraId="46EB0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推出第二代产品及行业定制版，拓展成渝、中部城市群等市场，累计销量突破3000台，发展100家以上经销商。搭建云端服务平台，软件订阅收入占比提升至20%以上。深化绿色供应链合作，核心部件可回收利用率提升至80%，对接碳交易平台获取额外收益。扩大研发与销售团队规模，完善股权激励机制。</w:t>
      </w:r>
    </w:p>
    <w:p w14:paraId="2B8A981F">
      <w:pPr>
        <w:pStyle w:val="4"/>
        <w:numPr>
          <w:ilvl w:val="0"/>
          <w:numId w:val="4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成熟期（第5年及以后）</w:t>
      </w:r>
    </w:p>
    <w:p w14:paraId="7D1C2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主导细分领域行业标准制定，专利数量突破50项，国内市场占有率稳居前三。拓展海外市场，进入东南亚、欧洲等地区，年销量突破5000台，软件与服务收入占比超30%。构建完整绿色生态体系，与高校、科研机构共建研发平台，打造全球知名品牌。</w:t>
      </w:r>
    </w:p>
    <w:p w14:paraId="2360327F">
      <w:pPr>
        <w:pStyle w:val="3"/>
        <w:numPr>
          <w:ilvl w:val="0"/>
          <w:numId w:val="4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48" w:name="_Toc4768"/>
      <w:bookmarkStart w:id="49" w:name="_Toc25660"/>
      <w:r>
        <w:rPr>
          <w:rFonts w:hint="default"/>
          <w:lang w:val="en-US" w:eastAsia="zh-CN"/>
        </w:rPr>
        <w:t>核心战略支撑</w:t>
      </w:r>
      <w:bookmarkEnd w:id="48"/>
      <w:bookmarkEnd w:id="49"/>
    </w:p>
    <w:p w14:paraId="1E62BBFF">
      <w:pPr>
        <w:numPr>
          <w:ilvl w:val="0"/>
          <w:numId w:val="42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研发投入</w:t>
      </w:r>
    </w:p>
    <w:p w14:paraId="12B08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每年将营业收入的20%投入研发，聚焦AI视觉、SLAM导航、节能技术等核心领域创新。</w:t>
      </w:r>
    </w:p>
    <w:p w14:paraId="2EE2783F">
      <w:pPr>
        <w:numPr>
          <w:ilvl w:val="0"/>
          <w:numId w:val="42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渠道建设</w:t>
      </w:r>
    </w:p>
    <w:p w14:paraId="3DA5E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线上线下融合，线上优化电商平台运营，线下拓展经销商与行业合作伙伴，构建全国性销售网络。</w:t>
      </w:r>
    </w:p>
    <w:p w14:paraId="69B5B41C">
      <w:pPr>
        <w:numPr>
          <w:ilvl w:val="0"/>
          <w:numId w:val="42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客户服务</w:t>
      </w:r>
    </w:p>
    <w:p w14:paraId="0E979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以客户需求为核心，持续优化产品与服务，提升客户满意度与复购率。</w:t>
      </w:r>
    </w:p>
    <w:p w14:paraId="3D6021DB">
      <w:pPr>
        <w:numPr>
          <w:ilvl w:val="0"/>
          <w:numId w:val="42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政策对接</w:t>
      </w:r>
    </w:p>
    <w:p w14:paraId="69B3D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密切跟踪政策动态，积极申请绿色产品认证、研发补贴与政府采购订单，获取政策红利。</w:t>
      </w:r>
    </w:p>
    <w:p w14:paraId="5844083B">
      <w:pPr>
        <w:pStyle w:val="2"/>
        <w:bidi w:val="0"/>
        <w:rPr>
          <w:rFonts w:hint="default"/>
          <w:lang w:val="en-US" w:eastAsia="zh-CN"/>
        </w:rPr>
      </w:pPr>
      <w:bookmarkStart w:id="50" w:name="_Toc16728"/>
      <w:bookmarkStart w:id="51" w:name="_Toc13363"/>
      <w:r>
        <w:rPr>
          <w:rFonts w:hint="default"/>
          <w:lang w:val="en-US" w:eastAsia="zh-CN"/>
        </w:rPr>
        <w:t>财务分析</w:t>
      </w:r>
      <w:bookmarkEnd w:id="50"/>
      <w:bookmarkEnd w:id="51"/>
    </w:p>
    <w:p w14:paraId="5F018A83">
      <w:pPr>
        <w:pStyle w:val="3"/>
        <w:numPr>
          <w:ilvl w:val="0"/>
          <w:numId w:val="4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52" w:name="_Toc17892"/>
      <w:bookmarkStart w:id="53" w:name="_Toc30273"/>
      <w:r>
        <w:rPr>
          <w:rFonts w:hint="default"/>
          <w:lang w:val="en-US" w:eastAsia="zh-CN"/>
        </w:rPr>
        <w:t>财务假设</w:t>
      </w:r>
      <w:bookmarkEnd w:id="52"/>
      <w:bookmarkEnd w:id="53"/>
    </w:p>
    <w:p w14:paraId="716EF34F">
      <w:pPr>
        <w:numPr>
          <w:ilvl w:val="0"/>
          <w:numId w:val="44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产品定价</w:t>
      </w:r>
    </w:p>
    <w:p w14:paraId="3E94B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标准化产品售价3.98万元/台，定制化产品溢价20%-50%，软件订阅年费 2000-5000元/台。</w:t>
      </w:r>
    </w:p>
    <w:p w14:paraId="0711B650">
      <w:pPr>
        <w:numPr>
          <w:ilvl w:val="0"/>
          <w:numId w:val="44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销量预测</w:t>
      </w:r>
    </w:p>
    <w:p w14:paraId="421C1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初创期（1-2 年）累计销量500台，成长期（3-4年）累计销量2500台，成熟期（第5年）销量5000台。</w:t>
      </w:r>
    </w:p>
    <w:p w14:paraId="2141B94E">
      <w:pPr>
        <w:numPr>
          <w:ilvl w:val="0"/>
          <w:numId w:val="44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成本预测</w:t>
      </w:r>
    </w:p>
    <w:p w14:paraId="31313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单位生产成本初创期1.8万元，成长期1.6万元，成熟期1.4万元；期间费用（销售、管理、研发）占营业收入的比例逐年下降（初创期40%、成长期35%、成熟期30%）。</w:t>
      </w:r>
    </w:p>
    <w:p w14:paraId="59FFC63C">
      <w:pPr>
        <w:numPr>
          <w:ilvl w:val="0"/>
          <w:numId w:val="44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政策优惠</w:t>
      </w:r>
    </w:p>
    <w:p w14:paraId="43F53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享受15%企业所得税、13%增值税优惠，累计获得政策补贴2000万元。</w:t>
      </w:r>
    </w:p>
    <w:p w14:paraId="5AEAEB6B">
      <w:pPr>
        <w:pStyle w:val="3"/>
        <w:numPr>
          <w:ilvl w:val="0"/>
          <w:numId w:val="4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54" w:name="_Toc8900"/>
      <w:bookmarkStart w:id="55" w:name="_Toc7552"/>
      <w:r>
        <w:rPr>
          <w:rFonts w:hint="default"/>
          <w:lang w:val="en-US" w:eastAsia="zh-CN"/>
        </w:rPr>
        <w:t>核心财务数据</w:t>
      </w:r>
      <w:bookmarkEnd w:id="54"/>
      <w:bookmarkEnd w:id="55"/>
    </w:p>
    <w:p w14:paraId="148E3CFF">
      <w:pPr>
        <w:numPr>
          <w:ilvl w:val="0"/>
          <w:numId w:val="0"/>
        </w:numPr>
        <w:tabs>
          <w:tab w:val="left" w:pos="0"/>
        </w:tabs>
        <w:bidi w:val="0"/>
        <w:ind w:leftChars="0"/>
        <w:jc w:val="center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 xml:space="preserve">表7.1 </w:t>
      </w: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16"/>
          <w:shd w:val="clear" w:fill="FFFFFF"/>
          <w:lang w:val="en-US" w:eastAsia="zh-CN" w:bidi="ar"/>
        </w:rPr>
        <w:t>核心</w:t>
      </w: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16"/>
          <w:shd w:val="clear" w:fill="FFFFFF"/>
          <w:lang w:val="en-US" w:eastAsia="zh-CN" w:bidi="ar"/>
        </w:rPr>
        <w:t>财务数据</w:t>
      </w:r>
      <w:r>
        <w:rPr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16"/>
          <w:shd w:val="clear" w:fill="FFFFFF"/>
          <w:lang w:val="en-US" w:eastAsia="zh-CN" w:bidi="ar"/>
        </w:rPr>
        <w:t>（单位：万元）</w:t>
      </w:r>
    </w:p>
    <w:p w14:paraId="1150693A">
      <w:pPr>
        <w:rPr>
          <w:rFonts w:hint="default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1095"/>
        <w:gridCol w:w="1200"/>
        <w:gridCol w:w="1680"/>
        <w:gridCol w:w="1680"/>
        <w:gridCol w:w="1680"/>
      </w:tblGrid>
      <w:tr w14:paraId="70FC298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DDE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93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第</w:t>
            </w: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1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78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第 2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975D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第 3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97BB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第 4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21C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第 5 年</w:t>
            </w:r>
          </w:p>
        </w:tc>
      </w:tr>
      <w:tr w14:paraId="51E226E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249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营业收入（万元）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AED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683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466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3582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B16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5970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F679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19900</w:t>
            </w:r>
          </w:p>
        </w:tc>
      </w:tr>
      <w:tr w14:paraId="6D8C847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03E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净利润（万元）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B2E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129.35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2F7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159.2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E0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8935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895.5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4CF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4776</w:t>
            </w:r>
          </w:p>
        </w:tc>
      </w:tr>
      <w:tr w14:paraId="670BE1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13F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期末现金余额（万元）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007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865.65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524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leftChars="0" w:right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1024.85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F687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1454.85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FE8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2350.35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0C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 w:firstLine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0"/>
                <w:sz w:val="24"/>
                <w:szCs w:val="16"/>
                <w:lang w:val="en-US" w:eastAsia="zh-CN" w:bidi="ar"/>
              </w:rPr>
              <w:t>7126.35</w:t>
            </w:r>
          </w:p>
        </w:tc>
      </w:tr>
    </w:tbl>
    <w:p w14:paraId="32BFB655">
      <w:pPr>
        <w:pStyle w:val="3"/>
        <w:numPr>
          <w:ilvl w:val="0"/>
          <w:numId w:val="4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56" w:name="_Toc20532"/>
      <w:bookmarkStart w:id="57" w:name="_Toc31824"/>
      <w:r>
        <w:rPr>
          <w:rFonts w:hint="default"/>
          <w:lang w:val="en-US" w:eastAsia="zh-CN"/>
        </w:rPr>
        <w:t>盈利能力与风险应对</w:t>
      </w:r>
      <w:bookmarkEnd w:id="56"/>
      <w:bookmarkEnd w:id="57"/>
    </w:p>
    <w:p w14:paraId="03872BFF">
      <w:pPr>
        <w:numPr>
          <w:ilvl w:val="0"/>
          <w:numId w:val="45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盈利能力</w:t>
      </w:r>
    </w:p>
    <w:p w14:paraId="0EF17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毛利率保持在55%-60%，净利率从13%提升至24%，5年累计ROI达380%，盈利能力持续增强。</w:t>
      </w:r>
    </w:p>
    <w:p w14:paraId="000A956B">
      <w:pPr>
        <w:numPr>
          <w:ilvl w:val="0"/>
          <w:numId w:val="45"/>
        </w:numPr>
        <w:bidi w:val="0"/>
        <w:ind w:left="425" w:leftChars="0" w:hanging="425" w:firstLineChars="0"/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</w:pPr>
      <w:r>
        <w:rPr>
          <w:rFonts w:hint="default" w:eastAsia="宋体" w:asciiTheme="minorAscii" w:hAnsiTheme="minorAscii"/>
          <w:b w:val="0"/>
          <w:bCs w:val="0"/>
          <w:sz w:val="24"/>
          <w:lang w:val="en-US" w:eastAsia="zh-CN"/>
        </w:rPr>
        <w:t>风险应对</w:t>
      </w:r>
    </w:p>
    <w:p w14:paraId="650C4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针对现金流紧张风险，优化销售回款周期，与供应商签订账期协议；针对成本波动风险，锁定核心部件采购价格，规模化降低生产成本；针对市场竞争风险，持续加大研发投入，强化技术壁垒与服务优势。</w:t>
      </w:r>
    </w:p>
    <w:p w14:paraId="07A9700E">
      <w:pPr>
        <w:pStyle w:val="2"/>
        <w:bidi w:val="0"/>
        <w:rPr>
          <w:rFonts w:hint="default"/>
          <w:lang w:val="en-US" w:eastAsia="zh-CN"/>
        </w:rPr>
      </w:pPr>
      <w:bookmarkStart w:id="58" w:name="_Toc19434"/>
      <w:bookmarkStart w:id="59" w:name="_Toc12524"/>
      <w:r>
        <w:rPr>
          <w:rFonts w:hint="default"/>
          <w:lang w:val="en-US" w:eastAsia="zh-CN"/>
        </w:rPr>
        <w:t>风险防范</w:t>
      </w:r>
      <w:bookmarkEnd w:id="58"/>
      <w:bookmarkEnd w:id="59"/>
    </w:p>
    <w:p w14:paraId="46C4B83E">
      <w:pPr>
        <w:pStyle w:val="3"/>
        <w:numPr>
          <w:ilvl w:val="0"/>
          <w:numId w:val="4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0" w:name="_Toc561"/>
      <w:bookmarkStart w:id="61" w:name="_Toc3545"/>
      <w:r>
        <w:rPr>
          <w:rFonts w:hint="default"/>
          <w:lang w:val="en-US" w:eastAsia="zh-CN"/>
        </w:rPr>
        <w:t>技术风险</w:t>
      </w:r>
      <w:bookmarkEnd w:id="60"/>
      <w:bookmarkEnd w:id="61"/>
    </w:p>
    <w:p w14:paraId="253BE046">
      <w:pPr>
        <w:pStyle w:val="4"/>
        <w:numPr>
          <w:ilvl w:val="0"/>
          <w:numId w:val="4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171D0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AI视觉与SLAM导航融合技术迭代不及预期，核心算法被抄袭，设备在复杂环境下性能不稳定。</w:t>
      </w:r>
    </w:p>
    <w:p w14:paraId="00B33173">
      <w:pPr>
        <w:pStyle w:val="4"/>
        <w:numPr>
          <w:ilvl w:val="0"/>
          <w:numId w:val="47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防范措施</w:t>
      </w:r>
    </w:p>
    <w:p w14:paraId="70D1B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加大研发投入，组建专业研发团队，与高校、科研机构共建研发平台，保持技术领先性。加强知识产权保护，核心技术及时申请专利与软件著作权，构建全方位知识产权壁垒。建立完善的产品测试体系，上市前经过多轮复杂环境测试，确保产品稳定性与可靠性。</w:t>
      </w:r>
    </w:p>
    <w:p w14:paraId="305A0435">
      <w:pPr>
        <w:pStyle w:val="3"/>
        <w:numPr>
          <w:ilvl w:val="0"/>
          <w:numId w:val="4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2" w:name="_Toc29831"/>
      <w:bookmarkStart w:id="63" w:name="_Toc2881"/>
      <w:r>
        <w:rPr>
          <w:rFonts w:hint="default"/>
          <w:lang w:val="en-US" w:eastAsia="zh-CN"/>
        </w:rPr>
        <w:t>市场风险</w:t>
      </w:r>
      <w:bookmarkEnd w:id="62"/>
      <w:bookmarkEnd w:id="63"/>
    </w:p>
    <w:p w14:paraId="0D11C2CA">
      <w:pPr>
        <w:pStyle w:val="4"/>
        <w:numPr>
          <w:ilvl w:val="0"/>
          <w:numId w:val="48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5D404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市场需求增长不及预期，竞争对手推出同类产品引发价格战，客户对新产品接受度低。</w:t>
      </w:r>
    </w:p>
    <w:p w14:paraId="6D24D25D">
      <w:pPr>
        <w:pStyle w:val="4"/>
        <w:numPr>
          <w:ilvl w:val="0"/>
          <w:numId w:val="48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防范措施</w:t>
      </w:r>
    </w:p>
    <w:p w14:paraId="6B48F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加强市场调研与推广，通过行业展会、线下体验、案例分享等方式，提升产品知名度与客户认可度。持续强化产品差异化优势，通过技术创新与服务升级，避免陷入价格战，保持产品溢价能力。推出试用政策，让客户先体验后采购，降低客户决策门槛。</w:t>
      </w:r>
    </w:p>
    <w:p w14:paraId="1E8E8233">
      <w:pPr>
        <w:pStyle w:val="3"/>
        <w:numPr>
          <w:ilvl w:val="0"/>
          <w:numId w:val="4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4" w:name="_Toc25132"/>
      <w:bookmarkStart w:id="65" w:name="_Toc4271"/>
      <w:r>
        <w:rPr>
          <w:rFonts w:hint="default"/>
          <w:lang w:val="en-US" w:eastAsia="zh-CN"/>
        </w:rPr>
        <w:t>供应链风险</w:t>
      </w:r>
      <w:bookmarkEnd w:id="64"/>
      <w:bookmarkEnd w:id="65"/>
    </w:p>
    <w:p w14:paraId="1AD58FF0">
      <w:pPr>
        <w:pStyle w:val="4"/>
        <w:numPr>
          <w:ilvl w:val="0"/>
          <w:numId w:val="49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0F6F8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核心零部件供应商产能不足或提价，环保材料供应不稳定，供应链断裂影响生产交付。</w:t>
      </w:r>
    </w:p>
    <w:p w14:paraId="71584E68">
      <w:pPr>
        <w:pStyle w:val="4"/>
        <w:numPr>
          <w:ilvl w:val="0"/>
          <w:numId w:val="49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防范措施</w:t>
      </w:r>
    </w:p>
    <w:p w14:paraId="7FD48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建立多元化供应链体系，与2-3家核心供应商签订长期合作协议，锁定价格与产能，同时储备备选供应商。加强供应链管理，定期评估供应商产能、质量与绿色属性，确保供应链稳定。与核心供应商共建绿色供应链，共同优化生产流程，降低成本。</w:t>
      </w:r>
    </w:p>
    <w:p w14:paraId="17DC1B4A">
      <w:pPr>
        <w:pStyle w:val="3"/>
        <w:numPr>
          <w:ilvl w:val="0"/>
          <w:numId w:val="4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6" w:name="_Toc2732"/>
      <w:bookmarkStart w:id="67" w:name="_Toc3317"/>
      <w:r>
        <w:rPr>
          <w:rFonts w:hint="default"/>
          <w:lang w:val="en-US" w:eastAsia="zh-CN"/>
        </w:rPr>
        <w:t>运营风险</w:t>
      </w:r>
      <w:bookmarkEnd w:id="66"/>
      <w:bookmarkEnd w:id="67"/>
    </w:p>
    <w:p w14:paraId="7015A79D">
      <w:pPr>
        <w:pStyle w:val="4"/>
        <w:numPr>
          <w:ilvl w:val="0"/>
          <w:numId w:val="5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172DE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产品量产过程中出现质量问题，售后服务响应不及时，客户投诉率高，影响品牌声誉。</w:t>
      </w:r>
    </w:p>
    <w:p w14:paraId="02A6BD84">
      <w:pPr>
        <w:pStyle w:val="4"/>
        <w:numPr>
          <w:ilvl w:val="0"/>
          <w:numId w:val="50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防范措施</w:t>
      </w:r>
    </w:p>
    <w:p w14:paraId="0EA85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建立严格的质量控制体系，从原材料采购、生产加工到成品检验，全程把控产品质量。完善售后服务网络，在核心区域设立服务网点，加强售后团队培训，提升服务响应速度与专业水平。建立客户反馈机制，及时解决客户问题，将客户投诉率控制在1%以下。</w:t>
      </w:r>
    </w:p>
    <w:p w14:paraId="776BC7EC">
      <w:pPr>
        <w:pStyle w:val="3"/>
        <w:numPr>
          <w:ilvl w:val="0"/>
          <w:numId w:val="46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68" w:name="_Toc31111"/>
      <w:bookmarkStart w:id="69" w:name="_Toc26415"/>
      <w:r>
        <w:rPr>
          <w:rFonts w:hint="default"/>
          <w:lang w:val="en-US" w:eastAsia="zh-CN"/>
        </w:rPr>
        <w:t>政策与合规风险</w:t>
      </w:r>
      <w:bookmarkEnd w:id="68"/>
      <w:bookmarkEnd w:id="69"/>
    </w:p>
    <w:p w14:paraId="09FF00F5">
      <w:pPr>
        <w:pStyle w:val="4"/>
        <w:numPr>
          <w:ilvl w:val="0"/>
          <w:numId w:val="5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风险描述</w:t>
      </w:r>
    </w:p>
    <w:p w14:paraId="7B599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环保法规、碳排放标准升级，产品不符合新的合规要求；数据安全、隐私保护相关政策变化影响云端服务。</w:t>
      </w:r>
    </w:p>
    <w:p w14:paraId="772DCA84">
      <w:pPr>
        <w:pStyle w:val="4"/>
        <w:numPr>
          <w:ilvl w:val="0"/>
          <w:numId w:val="5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防范措施</w:t>
      </w:r>
    </w:p>
    <w:p w14:paraId="59EF6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切关注环保、碳减排相关政策法规动态，提前布局技术升级，确保产品持续符合合规要求，积极参与绿色产品认证。严格遵守数据安全与隐私保护相关法律法规，建立完善的数据加密、存储、传输机制，获取客户授权后使用数据，保障客户隐私安全。</w:t>
      </w:r>
    </w:p>
    <w:p w14:paraId="07632B84">
      <w:pPr>
        <w:pStyle w:val="2"/>
        <w:bidi w:val="0"/>
        <w:rPr>
          <w:rFonts w:hint="default"/>
          <w:lang w:val="en-US" w:eastAsia="zh-CN"/>
        </w:rPr>
      </w:pPr>
      <w:bookmarkStart w:id="70" w:name="_Toc32238"/>
      <w:bookmarkStart w:id="71" w:name="_Toc19759"/>
      <w:r>
        <w:rPr>
          <w:rFonts w:hint="default"/>
          <w:lang w:val="en-US" w:eastAsia="zh-CN"/>
        </w:rPr>
        <w:t>资本退出</w:t>
      </w:r>
      <w:bookmarkEnd w:id="70"/>
      <w:bookmarkEnd w:id="71"/>
    </w:p>
    <w:p w14:paraId="6BB5EFBF">
      <w:pPr>
        <w:pStyle w:val="3"/>
        <w:numPr>
          <w:ilvl w:val="0"/>
          <w:numId w:val="5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72" w:name="_Toc28632"/>
      <w:bookmarkStart w:id="73" w:name="_Toc1925"/>
      <w:r>
        <w:rPr>
          <w:rFonts w:hint="default"/>
          <w:lang w:val="en-US" w:eastAsia="zh-CN"/>
        </w:rPr>
        <w:t>退出原则</w:t>
      </w:r>
      <w:bookmarkEnd w:id="72"/>
      <w:bookmarkEnd w:id="73"/>
    </w:p>
    <w:p w14:paraId="64D57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保障投资者利益最大化，兼顾公司持续发展与员工权益，遵循合规合法、公平公正的退出原则。</w:t>
      </w:r>
    </w:p>
    <w:p w14:paraId="2D4D40EB">
      <w:pPr>
        <w:pStyle w:val="3"/>
        <w:numPr>
          <w:ilvl w:val="0"/>
          <w:numId w:val="5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74" w:name="_Toc18763"/>
      <w:bookmarkStart w:id="75" w:name="_Toc12754"/>
      <w:r>
        <w:rPr>
          <w:rFonts w:hint="default"/>
          <w:lang w:val="en-US" w:eastAsia="zh-CN"/>
        </w:rPr>
        <w:t>退出方式</w:t>
      </w:r>
      <w:bookmarkEnd w:id="74"/>
      <w:bookmarkEnd w:id="75"/>
    </w:p>
    <w:p w14:paraId="4FBE967E">
      <w:pPr>
        <w:pStyle w:val="4"/>
        <w:numPr>
          <w:ilvl w:val="0"/>
          <w:numId w:val="5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IPO退出（首选）</w:t>
      </w:r>
    </w:p>
    <w:p w14:paraId="78303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第5年及以后满足IPO条件时启动，申报创业板或科创板，锁定期满后二级市场减持，预计回报率6-12倍。</w:t>
      </w:r>
    </w:p>
    <w:p w14:paraId="7DB8AC18">
      <w:pPr>
        <w:pStyle w:val="4"/>
        <w:numPr>
          <w:ilvl w:val="0"/>
          <w:numId w:val="5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并购退出（备选）</w:t>
      </w:r>
    </w:p>
    <w:p w14:paraId="7886B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第4-5年对接行业龙头企业或大型科技公司并购，估值为净利润18-22倍，预计回报率4-8倍。</w:t>
      </w:r>
    </w:p>
    <w:p w14:paraId="349FE486">
      <w:pPr>
        <w:pStyle w:val="4"/>
        <w:numPr>
          <w:ilvl w:val="0"/>
          <w:numId w:val="5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股权回购（兜底）</w:t>
      </w:r>
    </w:p>
    <w:p w14:paraId="1543A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第3-5年满足约定条件时，按净利润10-15倍估值回购，年化收益率18%-25%。</w:t>
      </w:r>
    </w:p>
    <w:p w14:paraId="0540E243">
      <w:pPr>
        <w:pStyle w:val="3"/>
        <w:numPr>
          <w:ilvl w:val="0"/>
          <w:numId w:val="5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76" w:name="_Toc16260"/>
      <w:bookmarkStart w:id="77" w:name="_Toc13877"/>
      <w:r>
        <w:rPr>
          <w:rFonts w:hint="default"/>
          <w:lang w:val="en-US" w:eastAsia="zh-CN"/>
        </w:rPr>
        <w:t>退出保障</w:t>
      </w:r>
      <w:bookmarkEnd w:id="76"/>
      <w:bookmarkEnd w:id="77"/>
    </w:p>
    <w:p w14:paraId="158DD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完善公司治理结构与信息披露制度，定期向投资者提供真实、准确的财务与运营数据。签订明确的退出协议，明确退出条件、估值方式与支付条款，保障投资者权益。持续提升公司价值，通过技术创新、市场拓展、盈利能力提升，增强公司在资本市场的吸引力。建立投资者关系管理机制，加强与投资者的沟通与互动，为退出创造良好条件。</w:t>
      </w:r>
    </w:p>
    <w:p w14:paraId="617F5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5C982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D5D3F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0BA6D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D5044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C8AFD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C8AFD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C998B"/>
    <w:multiLevelType w:val="singleLevel"/>
    <w:tmpl w:val="815C998B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8AC458E"/>
    <w:multiLevelType w:val="singleLevel"/>
    <w:tmpl w:val="88AC458E"/>
    <w:lvl w:ilvl="0" w:tentative="0">
      <w:start w:val="1"/>
      <w:numFmt w:val="decimal"/>
      <w:suff w:val="space"/>
      <w:lvlText w:val="8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2">
    <w:nsid w:val="8DCD7692"/>
    <w:multiLevelType w:val="singleLevel"/>
    <w:tmpl w:val="8DCD7692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907E9E94"/>
    <w:multiLevelType w:val="singleLevel"/>
    <w:tmpl w:val="907E9E94"/>
    <w:lvl w:ilvl="0" w:tentative="0">
      <w:start w:val="1"/>
      <w:numFmt w:val="decimal"/>
      <w:pStyle w:val="3"/>
      <w:suff w:val="space"/>
      <w:lvlText w:val="5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4">
    <w:nsid w:val="917EE272"/>
    <w:multiLevelType w:val="singleLevel"/>
    <w:tmpl w:val="917EE272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986FCDD9"/>
    <w:multiLevelType w:val="singleLevel"/>
    <w:tmpl w:val="986FCDD9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99A931AF"/>
    <w:multiLevelType w:val="singleLevel"/>
    <w:tmpl w:val="99A931AF"/>
    <w:lvl w:ilvl="0" w:tentative="0">
      <w:start w:val="1"/>
      <w:numFmt w:val="decimal"/>
      <w:suff w:val="space"/>
      <w:lvlText w:val="3.1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7">
    <w:nsid w:val="A770D7DA"/>
    <w:multiLevelType w:val="singleLevel"/>
    <w:tmpl w:val="A770D7DA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A9B830EE"/>
    <w:multiLevelType w:val="singleLevel"/>
    <w:tmpl w:val="A9B830EE"/>
    <w:lvl w:ilvl="0" w:tentative="0">
      <w:start w:val="1"/>
      <w:numFmt w:val="decimal"/>
      <w:suff w:val="space"/>
      <w:lvlText w:val="9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9">
    <w:nsid w:val="A9D71A00"/>
    <w:multiLevelType w:val="singleLevel"/>
    <w:tmpl w:val="A9D71A00"/>
    <w:lvl w:ilvl="0" w:tentative="0">
      <w:start w:val="1"/>
      <w:numFmt w:val="decimal"/>
      <w:suff w:val="space"/>
      <w:lvlText w:val="1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10">
    <w:nsid w:val="ABEADFCC"/>
    <w:multiLevelType w:val="singleLevel"/>
    <w:tmpl w:val="ABEADFCC"/>
    <w:lvl w:ilvl="0" w:tentative="0">
      <w:start w:val="1"/>
      <w:numFmt w:val="decimal"/>
      <w:suff w:val="space"/>
      <w:lvlText w:val="6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11">
    <w:nsid w:val="B111F80F"/>
    <w:multiLevelType w:val="singleLevel"/>
    <w:tmpl w:val="B111F80F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2">
    <w:nsid w:val="B1863E7B"/>
    <w:multiLevelType w:val="singleLevel"/>
    <w:tmpl w:val="B1863E7B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B3F44374"/>
    <w:multiLevelType w:val="singleLevel"/>
    <w:tmpl w:val="B3F44374"/>
    <w:lvl w:ilvl="0" w:tentative="0">
      <w:start w:val="1"/>
      <w:numFmt w:val="decimal"/>
      <w:suff w:val="space"/>
      <w:lvlText w:val="8.3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14">
    <w:nsid w:val="BCB1583C"/>
    <w:multiLevelType w:val="singleLevel"/>
    <w:tmpl w:val="BCB1583C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C11F5877"/>
    <w:multiLevelType w:val="singleLevel"/>
    <w:tmpl w:val="C11F5877"/>
    <w:lvl w:ilvl="0" w:tentative="0">
      <w:start w:val="1"/>
      <w:numFmt w:val="decimal"/>
      <w:suff w:val="space"/>
      <w:lvlText w:val="2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16">
    <w:nsid w:val="C89D7865"/>
    <w:multiLevelType w:val="singleLevel"/>
    <w:tmpl w:val="C89D7865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7">
    <w:nsid w:val="CEF3E32C"/>
    <w:multiLevelType w:val="singleLevel"/>
    <w:tmpl w:val="CEF3E32C"/>
    <w:lvl w:ilvl="0" w:tentative="0">
      <w:start w:val="1"/>
      <w:numFmt w:val="decimal"/>
      <w:suff w:val="space"/>
      <w:lvlText w:val="8.1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18">
    <w:nsid w:val="D10D34E4"/>
    <w:multiLevelType w:val="singleLevel"/>
    <w:tmpl w:val="D10D34E4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9">
    <w:nsid w:val="D6C1E966"/>
    <w:multiLevelType w:val="singleLevel"/>
    <w:tmpl w:val="D6C1E966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20">
    <w:nsid w:val="D7381B7D"/>
    <w:multiLevelType w:val="singleLevel"/>
    <w:tmpl w:val="D7381B7D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21">
    <w:nsid w:val="DACAAAAD"/>
    <w:multiLevelType w:val="singleLevel"/>
    <w:tmpl w:val="DACAAAAD"/>
    <w:lvl w:ilvl="0" w:tentative="0">
      <w:start w:val="1"/>
      <w:numFmt w:val="decimal"/>
      <w:suff w:val="space"/>
      <w:lvlText w:val="5.1.%1"/>
      <w:lvlJc w:val="left"/>
      <w:pPr>
        <w:tabs>
          <w:tab w:val="left" w:pos="0"/>
        </w:tabs>
        <w:ind w:left="0" w:firstLine="0"/>
      </w:pPr>
      <w:rPr>
        <w:rFonts w:hint="default" w:eastAsia="黑体"/>
      </w:rPr>
    </w:lvl>
  </w:abstractNum>
  <w:abstractNum w:abstractNumId="22">
    <w:nsid w:val="DF3D3C84"/>
    <w:multiLevelType w:val="singleLevel"/>
    <w:tmpl w:val="DF3D3C84"/>
    <w:lvl w:ilvl="0" w:tentative="0">
      <w:start w:val="1"/>
      <w:numFmt w:val="decimal"/>
      <w:suff w:val="space"/>
      <w:lvlText w:val="3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23">
    <w:nsid w:val="EEB2161B"/>
    <w:multiLevelType w:val="singleLevel"/>
    <w:tmpl w:val="EEB2161B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24">
    <w:nsid w:val="F75CF96B"/>
    <w:multiLevelType w:val="singleLevel"/>
    <w:tmpl w:val="F75CF96B"/>
    <w:lvl w:ilvl="0" w:tentative="0">
      <w:start w:val="1"/>
      <w:numFmt w:val="decimal"/>
      <w:suff w:val="space"/>
      <w:lvlText w:val="4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25">
    <w:nsid w:val="08EFF165"/>
    <w:multiLevelType w:val="singleLevel"/>
    <w:tmpl w:val="08EFF165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26">
    <w:nsid w:val="09BC1BA2"/>
    <w:multiLevelType w:val="singleLevel"/>
    <w:tmpl w:val="09BC1BA2"/>
    <w:lvl w:ilvl="0" w:tentative="0">
      <w:start w:val="1"/>
      <w:numFmt w:val="decimal"/>
      <w:suff w:val="space"/>
      <w:lvlText w:val="3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27">
    <w:nsid w:val="0F7BCFAA"/>
    <w:multiLevelType w:val="singleLevel"/>
    <w:tmpl w:val="0F7BCFAA"/>
    <w:lvl w:ilvl="0" w:tentative="0">
      <w:start w:val="1"/>
      <w:numFmt w:val="decimal"/>
      <w:suff w:val="space"/>
      <w:lvlText w:val="4.1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28">
    <w:nsid w:val="13DD13A6"/>
    <w:multiLevelType w:val="singleLevel"/>
    <w:tmpl w:val="13DD13A6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29">
    <w:nsid w:val="15BE14DA"/>
    <w:multiLevelType w:val="singleLevel"/>
    <w:tmpl w:val="15BE14DA"/>
    <w:lvl w:ilvl="0" w:tentative="0">
      <w:start w:val="1"/>
      <w:numFmt w:val="decimal"/>
      <w:suff w:val="space"/>
      <w:lvlText w:val="2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30">
    <w:nsid w:val="1633458E"/>
    <w:multiLevelType w:val="singleLevel"/>
    <w:tmpl w:val="1633458E"/>
    <w:lvl w:ilvl="0" w:tentative="0">
      <w:start w:val="1"/>
      <w:numFmt w:val="decimal"/>
      <w:suff w:val="space"/>
      <w:lvlText w:val="1.1.%1"/>
      <w:lvlJc w:val="left"/>
      <w:pPr>
        <w:ind w:left="0" w:firstLine="0"/>
      </w:pPr>
      <w:rPr>
        <w:rFonts w:hint="default"/>
      </w:rPr>
    </w:lvl>
  </w:abstractNum>
  <w:abstractNum w:abstractNumId="31">
    <w:nsid w:val="19E84B76"/>
    <w:multiLevelType w:val="singleLevel"/>
    <w:tmpl w:val="19E84B76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32">
    <w:nsid w:val="20F3C586"/>
    <w:multiLevelType w:val="singleLevel"/>
    <w:tmpl w:val="20F3C586"/>
    <w:lvl w:ilvl="0" w:tentative="0">
      <w:start w:val="1"/>
      <w:numFmt w:val="decimal"/>
      <w:suff w:val="space"/>
      <w:lvlText w:val="2.1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33">
    <w:nsid w:val="2149C33B"/>
    <w:multiLevelType w:val="singleLevel"/>
    <w:tmpl w:val="2149C33B"/>
    <w:lvl w:ilvl="0" w:tentative="0">
      <w:start w:val="1"/>
      <w:numFmt w:val="decimal"/>
      <w:suff w:val="space"/>
      <w:lvlText w:val="6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34">
    <w:nsid w:val="22F9D965"/>
    <w:multiLevelType w:val="singleLevel"/>
    <w:tmpl w:val="22F9D965"/>
    <w:lvl w:ilvl="0" w:tentative="0">
      <w:start w:val="1"/>
      <w:numFmt w:val="decimal"/>
      <w:suff w:val="space"/>
      <w:lvlText w:val="5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35">
    <w:nsid w:val="29487209"/>
    <w:multiLevelType w:val="singleLevel"/>
    <w:tmpl w:val="29487209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36">
    <w:nsid w:val="2DABAC39"/>
    <w:multiLevelType w:val="singleLevel"/>
    <w:tmpl w:val="2DABAC39"/>
    <w:lvl w:ilvl="0" w:tentative="0">
      <w:start w:val="1"/>
      <w:numFmt w:val="decimal"/>
      <w:suff w:val="space"/>
      <w:lvlText w:val="4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37">
    <w:nsid w:val="343CB115"/>
    <w:multiLevelType w:val="singleLevel"/>
    <w:tmpl w:val="343CB115"/>
    <w:lvl w:ilvl="0" w:tentative="0">
      <w:start w:val="1"/>
      <w:numFmt w:val="decimal"/>
      <w:suff w:val="space"/>
      <w:lvlText w:val="8.5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38">
    <w:nsid w:val="35A7A2F3"/>
    <w:multiLevelType w:val="singleLevel"/>
    <w:tmpl w:val="35A7A2F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9">
    <w:nsid w:val="46F2914C"/>
    <w:multiLevelType w:val="singleLevel"/>
    <w:tmpl w:val="46F2914C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40">
    <w:nsid w:val="59E654C6"/>
    <w:multiLevelType w:val="singleLevel"/>
    <w:tmpl w:val="59E654C6"/>
    <w:lvl w:ilvl="0" w:tentative="0">
      <w:start w:val="1"/>
      <w:numFmt w:val="decimal"/>
      <w:suff w:val="space"/>
      <w:lvlText w:val="9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41">
    <w:nsid w:val="5B8B46EA"/>
    <w:multiLevelType w:val="singleLevel"/>
    <w:tmpl w:val="5B8B46EA"/>
    <w:lvl w:ilvl="0" w:tentative="0">
      <w:start w:val="1"/>
      <w:numFmt w:val="decimal"/>
      <w:pStyle w:val="4"/>
      <w:suff w:val="space"/>
      <w:lvlText w:val="5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42">
    <w:nsid w:val="5CC33A6B"/>
    <w:multiLevelType w:val="singleLevel"/>
    <w:tmpl w:val="5CC33A6B"/>
    <w:lvl w:ilvl="0" w:tentative="0">
      <w:start w:val="1"/>
      <w:numFmt w:val="decimal"/>
      <w:suff w:val="space"/>
      <w:lvlText w:val="8.2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43">
    <w:nsid w:val="642CCC74"/>
    <w:multiLevelType w:val="singleLevel"/>
    <w:tmpl w:val="642CCC74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44">
    <w:nsid w:val="66C30444"/>
    <w:multiLevelType w:val="singleLevel"/>
    <w:tmpl w:val="66C30444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45">
    <w:nsid w:val="67C5BF67"/>
    <w:multiLevelType w:val="singleLevel"/>
    <w:tmpl w:val="67C5BF67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46">
    <w:nsid w:val="698AC0E8"/>
    <w:multiLevelType w:val="singleLevel"/>
    <w:tmpl w:val="698AC0E8"/>
    <w:lvl w:ilvl="0" w:tentative="0">
      <w:start w:val="1"/>
      <w:numFmt w:val="decimal"/>
      <w:suff w:val="space"/>
      <w:lvlText w:val="8.4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47">
    <w:nsid w:val="6F1CEE93"/>
    <w:multiLevelType w:val="singleLevel"/>
    <w:tmpl w:val="6F1CEE93"/>
    <w:lvl w:ilvl="0" w:tentative="0">
      <w:start w:val="1"/>
      <w:numFmt w:val="decimal"/>
      <w:suff w:val="space"/>
      <w:lvlText w:val="2.3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48">
    <w:nsid w:val="767CFBE9"/>
    <w:multiLevelType w:val="singleLevel"/>
    <w:tmpl w:val="767CFBE9"/>
    <w:lvl w:ilvl="0" w:tentative="0">
      <w:start w:val="1"/>
      <w:numFmt w:val="decimal"/>
      <w:suff w:val="space"/>
      <w:lvlText w:val="1.3.%1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abstractNum w:abstractNumId="49">
    <w:nsid w:val="772090EA"/>
    <w:multiLevelType w:val="singleLevel"/>
    <w:tmpl w:val="772090EA"/>
    <w:lvl w:ilvl="0" w:tentative="0">
      <w:start w:val="1"/>
      <w:numFmt w:val="decimal"/>
      <w:suff w:val="space"/>
      <w:lvlText w:val="1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50">
    <w:nsid w:val="78EDAFBB"/>
    <w:multiLevelType w:val="singleLevel"/>
    <w:tmpl w:val="78EDAFBB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51">
    <w:nsid w:val="7960E4AD"/>
    <w:multiLevelType w:val="singleLevel"/>
    <w:tmpl w:val="7960E4AD"/>
    <w:lvl w:ilvl="0" w:tentative="0">
      <w:start w:val="1"/>
      <w:numFmt w:val="decimal"/>
      <w:suff w:val="space"/>
      <w:lvlText w:val="7.%1"/>
      <w:lvlJc w:val="left"/>
      <w:pPr>
        <w:tabs>
          <w:tab w:val="left" w:pos="0"/>
        </w:tabs>
        <w:ind w:left="0" w:firstLine="0"/>
      </w:pPr>
      <w:rPr>
        <w:rFonts w:hint="default" w:ascii="黑体" w:hAnsi="黑体" w:eastAsia="黑体" w:cs="黑体"/>
      </w:rPr>
    </w:lvl>
  </w:abstractNum>
  <w:abstractNum w:abstractNumId="52">
    <w:nsid w:val="7A6208FB"/>
    <w:multiLevelType w:val="singleLevel"/>
    <w:tmpl w:val="7A6208FB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38"/>
  </w:num>
  <w:num w:numId="2">
    <w:abstractNumId w:val="3"/>
  </w:num>
  <w:num w:numId="3">
    <w:abstractNumId w:val="41"/>
  </w:num>
  <w:num w:numId="4">
    <w:abstractNumId w:val="49"/>
  </w:num>
  <w:num w:numId="5">
    <w:abstractNumId w:val="30"/>
  </w:num>
  <w:num w:numId="6">
    <w:abstractNumId w:val="9"/>
  </w:num>
  <w:num w:numId="7">
    <w:abstractNumId w:val="48"/>
  </w:num>
  <w:num w:numId="8">
    <w:abstractNumId w:val="15"/>
  </w:num>
  <w:num w:numId="9">
    <w:abstractNumId w:val="32"/>
  </w:num>
  <w:num w:numId="10">
    <w:abstractNumId w:val="29"/>
  </w:num>
  <w:num w:numId="11">
    <w:abstractNumId w:val="47"/>
  </w:num>
  <w:num w:numId="12">
    <w:abstractNumId w:val="23"/>
  </w:num>
  <w:num w:numId="13">
    <w:abstractNumId w:val="12"/>
  </w:num>
  <w:num w:numId="14">
    <w:abstractNumId w:val="45"/>
  </w:num>
  <w:num w:numId="15">
    <w:abstractNumId w:val="6"/>
  </w:num>
  <w:num w:numId="16">
    <w:abstractNumId w:val="18"/>
  </w:num>
  <w:num w:numId="17">
    <w:abstractNumId w:val="16"/>
  </w:num>
  <w:num w:numId="18">
    <w:abstractNumId w:val="31"/>
  </w:num>
  <w:num w:numId="19">
    <w:abstractNumId w:val="2"/>
  </w:num>
  <w:num w:numId="20">
    <w:abstractNumId w:val="43"/>
  </w:num>
  <w:num w:numId="21">
    <w:abstractNumId w:val="52"/>
  </w:num>
  <w:num w:numId="22">
    <w:abstractNumId w:val="11"/>
  </w:num>
  <w:num w:numId="23">
    <w:abstractNumId w:val="14"/>
  </w:num>
  <w:num w:numId="24">
    <w:abstractNumId w:val="26"/>
  </w:num>
  <w:num w:numId="25">
    <w:abstractNumId w:val="22"/>
  </w:num>
  <w:num w:numId="26">
    <w:abstractNumId w:val="4"/>
  </w:num>
  <w:num w:numId="27">
    <w:abstractNumId w:val="25"/>
  </w:num>
  <w:num w:numId="28">
    <w:abstractNumId w:val="0"/>
  </w:num>
  <w:num w:numId="29">
    <w:abstractNumId w:val="36"/>
  </w:num>
  <w:num w:numId="30">
    <w:abstractNumId w:val="27"/>
  </w:num>
  <w:num w:numId="31">
    <w:abstractNumId w:val="19"/>
  </w:num>
  <w:num w:numId="32">
    <w:abstractNumId w:val="50"/>
  </w:num>
  <w:num w:numId="33">
    <w:abstractNumId w:val="24"/>
  </w:num>
  <w:num w:numId="34">
    <w:abstractNumId w:val="28"/>
  </w:num>
  <w:num w:numId="35">
    <w:abstractNumId w:val="34"/>
  </w:num>
  <w:num w:numId="36">
    <w:abstractNumId w:val="21"/>
  </w:num>
  <w:num w:numId="37">
    <w:abstractNumId w:val="20"/>
  </w:num>
  <w:num w:numId="38">
    <w:abstractNumId w:val="7"/>
  </w:num>
  <w:num w:numId="39">
    <w:abstractNumId w:val="44"/>
  </w:num>
  <w:num w:numId="40">
    <w:abstractNumId w:val="10"/>
  </w:num>
  <w:num w:numId="41">
    <w:abstractNumId w:val="33"/>
    <w:lvlOverride w:ilvl="0">
      <w:startOverride w:val="1"/>
    </w:lvlOverride>
  </w:num>
  <w:num w:numId="42">
    <w:abstractNumId w:val="5"/>
  </w:num>
  <w:num w:numId="43">
    <w:abstractNumId w:val="51"/>
  </w:num>
  <w:num w:numId="44">
    <w:abstractNumId w:val="35"/>
  </w:num>
  <w:num w:numId="45">
    <w:abstractNumId w:val="39"/>
  </w:num>
  <w:num w:numId="46">
    <w:abstractNumId w:val="1"/>
  </w:num>
  <w:num w:numId="47">
    <w:abstractNumId w:val="17"/>
  </w:num>
  <w:num w:numId="48">
    <w:abstractNumId w:val="42"/>
  </w:num>
  <w:num w:numId="49">
    <w:abstractNumId w:val="13"/>
  </w:num>
  <w:num w:numId="50">
    <w:abstractNumId w:val="46"/>
  </w:num>
  <w:num w:numId="51">
    <w:abstractNumId w:val="37"/>
  </w:num>
  <w:num w:numId="52">
    <w:abstractNumId w:val="40"/>
  </w:num>
  <w:num w:numId="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B2A83"/>
    <w:rsid w:val="01987011"/>
    <w:rsid w:val="071243B7"/>
    <w:rsid w:val="0BB77C49"/>
    <w:rsid w:val="17983F8D"/>
    <w:rsid w:val="2AAF0DE6"/>
    <w:rsid w:val="2C2C463B"/>
    <w:rsid w:val="320A5EB8"/>
    <w:rsid w:val="3A5100EF"/>
    <w:rsid w:val="3D7953F3"/>
    <w:rsid w:val="48334FCE"/>
    <w:rsid w:val="4FB01626"/>
    <w:rsid w:val="51BA71FE"/>
    <w:rsid w:val="52054A9D"/>
    <w:rsid w:val="55F11240"/>
    <w:rsid w:val="578A5002"/>
    <w:rsid w:val="5C4D0EE8"/>
    <w:rsid w:val="63C50DC9"/>
    <w:rsid w:val="680A6924"/>
    <w:rsid w:val="6A4B2A83"/>
    <w:rsid w:val="6BB01632"/>
    <w:rsid w:val="6C5032AB"/>
    <w:rsid w:val="6F9067A4"/>
    <w:rsid w:val="708B5A7F"/>
    <w:rsid w:val="7130196B"/>
    <w:rsid w:val="736D1458"/>
    <w:rsid w:val="761250D6"/>
    <w:rsid w:val="7C3B2841"/>
    <w:rsid w:val="7D7B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144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left="0" w:firstLine="0" w:firstLineChars="0"/>
      <w:jc w:val="left"/>
      <w:outlineLvl w:val="0"/>
    </w:pPr>
    <w:rPr>
      <w:rFonts w:ascii="Segoe UI" w:hAnsi="Segoe UI" w:eastAsia="黑体" w:cs="Segoe UI"/>
      <w:b/>
      <w:bCs/>
      <w:color w:val="000000"/>
      <w:sz w:val="32"/>
      <w:szCs w:val="18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0"/>
        <w:numId w:val="2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Chars="0"/>
      <w:outlineLvl w:val="1"/>
    </w:pPr>
    <w:rPr>
      <w:rFonts w:ascii="黑体" w:hAnsi="黑体" w:eastAsia="黑体" w:cs="黑体"/>
      <w:b/>
      <w:color w:val="000000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0"/>
        <w:numId w:val="3"/>
      </w:numPr>
      <w:outlineLvl w:val="2"/>
    </w:pPr>
    <w:rPr>
      <w:rFonts w:ascii="黑体" w:hAnsi="黑体" w:eastAsia="黑体" w:cs="黑体"/>
      <w:b/>
      <w:bCs/>
      <w:sz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4"/>
    <w:basedOn w:val="1"/>
    <w:next w:val="1"/>
    <w:qFormat/>
    <w:uiPriority w:val="0"/>
    <w:pPr>
      <w:ind w:left="1260" w:leftChars="600"/>
    </w:p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rPr>
      <w:sz w:val="24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jpe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4406</Words>
  <Characters>5018</Characters>
  <Lines>0</Lines>
  <Paragraphs>0</Paragraphs>
  <TotalTime>4</TotalTime>
  <ScaleCrop>false</ScaleCrop>
  <LinksUpToDate>false</LinksUpToDate>
  <CharactersWithSpaces>5379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2025-12-03T15:33:00Z</dcterms:created>
  <dc:creator>茜向</dc:creator>
  <cp:lastModifiedBy>WPS_1648991700</cp:lastModifiedBy>
  <dcterms:modified xsi:type="dcterms:W3CDTF">2026-01-22T04:56:46Z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40D33D3C19504B7F9B57438F9B10B3AA_13</vt:lpwstr>
  </property>
  <property fmtid="{D5CDD505-2E9C-101B-9397-08002B2CF9AE}" pid="4" name="KSOTemplateDocerSaveRecord">
    <vt:lpwstr>eyJoZGlkIjoiMzE5ZDQ1YWE5ZjFhYmUyZTI4ZjIxMDA5NzA2NmFjZmMiLCJ1c2VySWQiOiIxMzU3Mjk2NjA0In0=</vt:lpwstr>
  </property>
</Properties>
</file>