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C780AA">
      <w:pPr>
        <w:ind w:left="0" w:leftChars="0" w:firstLine="0" w:firstLineChars="0"/>
        <w:jc w:val="center"/>
        <w:rPr>
          <w:rFonts w:hint="eastAsia" w:eastAsia="黑体" w:asciiTheme="minorAscii" w:hAnsiTheme="minorAscii"/>
          <w:b/>
          <w:bCs/>
          <w:sz w:val="72"/>
          <w:szCs w:val="96"/>
          <w:lang w:val="en-US" w:eastAsia="zh-CN"/>
        </w:rPr>
      </w:pPr>
      <w:r>
        <w:rPr>
          <w:rFonts w:hint="default" w:eastAsia="黑体" w:asciiTheme="minorAscii" w:hAnsiTheme="minorAscii"/>
          <w:b/>
          <w:bCs/>
          <w:sz w:val="72"/>
          <w:szCs w:val="96"/>
          <w:lang w:val="en-US" w:eastAsia="zh-CN"/>
        </w:rPr>
        <w:t>AI 视觉引导+SLAM 导航的全自主分拣搬运机器人</w:t>
      </w:r>
    </w:p>
    <w:p w14:paraId="68EAC29D">
      <w:pPr>
        <w:jc w:val="center"/>
        <w:rPr>
          <w:rFonts w:hint="eastAsia" w:eastAsia="黑体" w:asciiTheme="minorAscii" w:hAnsiTheme="minorAscii"/>
          <w:sz w:val="72"/>
          <w:szCs w:val="96"/>
          <w:lang w:val="en-US" w:eastAsia="zh-CN"/>
        </w:rPr>
      </w:pPr>
      <w:r>
        <w:rPr>
          <w:rFonts w:hint="eastAsia" w:eastAsia="黑体" w:asciiTheme="minorAscii" w:hAnsiTheme="minorAscii"/>
          <w:sz w:val="72"/>
          <w:szCs w:val="96"/>
          <w:lang w:val="en-US" w:eastAsia="zh-CN"/>
        </w:rPr>
        <w:t xml:space="preserve"> </w:t>
      </w:r>
    </w:p>
    <w:p w14:paraId="58B2DA1E">
      <w:pPr>
        <w:jc w:val="center"/>
        <w:rPr>
          <w:rFonts w:hint="default" w:eastAsia="黑体" w:asciiTheme="minorAscii" w:hAnsiTheme="minorAscii"/>
          <w:sz w:val="72"/>
          <w:szCs w:val="96"/>
          <w:lang w:val="en-US" w:eastAsia="zh-CN"/>
        </w:rPr>
      </w:pPr>
    </w:p>
    <w:p w14:paraId="62AF6F73">
      <w:pPr>
        <w:jc w:val="center"/>
        <w:rPr>
          <w:rFonts w:hint="eastAsia" w:eastAsia="黑体" w:asciiTheme="minorAscii" w:hAnsiTheme="minorAscii"/>
          <w:sz w:val="72"/>
          <w:szCs w:val="96"/>
          <w:lang w:val="en-US" w:eastAsia="zh-CN"/>
        </w:rPr>
      </w:pPr>
    </w:p>
    <w:p w14:paraId="6E6761C7">
      <w:pPr>
        <w:bidi w:val="0"/>
        <w:ind w:left="0" w:leftChars="0" w:firstLine="0" w:firstLineChars="0"/>
        <w:jc w:val="center"/>
        <w:rPr>
          <w:rFonts w:hint="default" w:ascii="黑体" w:hAnsi="黑体" w:eastAsia="黑体" w:cs="黑体"/>
          <w:b/>
          <w:bCs/>
          <w:sz w:val="96"/>
          <w:szCs w:val="96"/>
          <w:lang w:val="en-US" w:eastAsia="zh-CN"/>
        </w:rPr>
      </w:pPr>
      <w:r>
        <w:rPr>
          <w:rFonts w:hint="eastAsia" w:ascii="黑体" w:hAnsi="黑体" w:eastAsia="黑体" w:cs="黑体"/>
          <w:b/>
          <w:bCs/>
          <w:sz w:val="96"/>
          <w:szCs w:val="96"/>
          <w:lang w:val="en-US" w:eastAsia="zh-CN"/>
        </w:rPr>
        <w:t>项</w:t>
      </w:r>
    </w:p>
    <w:p w14:paraId="6D5EDC57">
      <w:pPr>
        <w:bidi w:val="0"/>
        <w:ind w:left="0" w:leftChars="0" w:firstLine="0" w:firstLineChars="0"/>
        <w:jc w:val="center"/>
        <w:rPr>
          <w:rFonts w:hint="default" w:ascii="黑体" w:hAnsi="黑体" w:eastAsia="黑体" w:cs="黑体"/>
          <w:b/>
          <w:bCs/>
          <w:sz w:val="96"/>
          <w:szCs w:val="96"/>
          <w:lang w:val="en-US" w:eastAsia="zh-CN"/>
        </w:rPr>
      </w:pPr>
      <w:bookmarkStart w:id="78" w:name="_GoBack"/>
      <w:bookmarkEnd w:id="78"/>
      <w:r>
        <w:rPr>
          <w:rFonts w:hint="eastAsia" w:ascii="黑体" w:hAnsi="黑体" w:eastAsia="黑体" w:cs="黑体"/>
          <w:b/>
          <w:bCs/>
          <w:sz w:val="96"/>
          <w:szCs w:val="96"/>
          <w:lang w:val="en-US" w:eastAsia="zh-CN"/>
        </w:rPr>
        <w:t>目</w:t>
      </w:r>
    </w:p>
    <w:p w14:paraId="45FE6AEF">
      <w:pPr>
        <w:bidi w:val="0"/>
        <w:ind w:left="0" w:leftChars="0" w:firstLine="0" w:firstLineChars="0"/>
        <w:jc w:val="center"/>
        <w:rPr>
          <w:rFonts w:hint="eastAsia" w:ascii="黑体" w:hAnsi="黑体" w:eastAsia="黑体" w:cs="黑体"/>
          <w:b/>
          <w:bCs/>
          <w:sz w:val="96"/>
          <w:szCs w:val="96"/>
          <w:lang w:val="en-US" w:eastAsia="zh-CN"/>
        </w:rPr>
      </w:pPr>
      <w:r>
        <w:rPr>
          <w:rFonts w:hint="eastAsia" w:ascii="黑体" w:hAnsi="黑体" w:eastAsia="黑体" w:cs="黑体"/>
          <w:b/>
          <w:bCs/>
          <w:sz w:val="96"/>
          <w:szCs w:val="96"/>
          <w:lang w:val="en-US" w:eastAsia="zh-CN"/>
        </w:rPr>
        <w:t>策</w:t>
      </w:r>
    </w:p>
    <w:p w14:paraId="3E47F05B">
      <w:pPr>
        <w:bidi w:val="0"/>
        <w:ind w:left="0" w:leftChars="0" w:firstLine="0" w:firstLineChars="0"/>
        <w:jc w:val="center"/>
        <w:rPr>
          <w:rFonts w:hint="eastAsia" w:ascii="黑体" w:hAnsi="黑体" w:eastAsia="黑体" w:cs="黑体"/>
          <w:b/>
          <w:bCs/>
          <w:sz w:val="96"/>
          <w:szCs w:val="96"/>
          <w:lang w:val="en-US" w:eastAsia="zh-CN"/>
        </w:rPr>
      </w:pPr>
      <w:r>
        <w:rPr>
          <w:rFonts w:hint="eastAsia" w:ascii="黑体" w:hAnsi="黑体" w:eastAsia="黑体" w:cs="黑体"/>
          <w:b/>
          <w:bCs/>
          <w:sz w:val="96"/>
          <w:szCs w:val="96"/>
          <w:lang w:val="en-US" w:eastAsia="zh-CN"/>
        </w:rPr>
        <w:t>划</w:t>
      </w:r>
    </w:p>
    <w:p w14:paraId="7132E456">
      <w:pPr>
        <w:bidi w:val="0"/>
        <w:ind w:left="0" w:leftChars="0" w:firstLine="0" w:firstLineChars="0"/>
        <w:jc w:val="center"/>
        <w:rPr>
          <w:rFonts w:hint="eastAsia" w:ascii="黑体" w:hAnsi="黑体" w:eastAsia="黑体" w:cs="黑体"/>
          <w:b/>
          <w:bCs/>
          <w:sz w:val="96"/>
          <w:szCs w:val="96"/>
          <w:lang w:val="en-US" w:eastAsia="zh-CN"/>
        </w:rPr>
      </w:pPr>
      <w:r>
        <w:rPr>
          <w:rFonts w:hint="eastAsia" w:ascii="黑体" w:hAnsi="黑体" w:eastAsia="黑体" w:cs="黑体"/>
          <w:b/>
          <w:bCs/>
          <w:sz w:val="96"/>
          <w:szCs w:val="96"/>
          <w:lang w:val="en-US" w:eastAsia="zh-CN"/>
        </w:rPr>
        <w:t>书</w:t>
      </w:r>
    </w:p>
    <w:p w14:paraId="69BE3B15">
      <w:pPr>
        <w:bidi w:val="0"/>
        <w:ind w:left="0" w:leftChars="0" w:firstLine="0" w:firstLineChars="0"/>
        <w:rPr>
          <w:lang w:val="en-US" w:eastAsia="zh-CN"/>
        </w:rPr>
      </w:pPr>
    </w:p>
    <w:p w14:paraId="0DD3B2D7">
      <w:pPr>
        <w:ind w:firstLine="420" w:firstLineChars="0"/>
        <w:jc w:val="center"/>
        <w:rPr>
          <w:rFonts w:hint="default" w:eastAsia="黑体" w:asciiTheme="minorAscii" w:hAnsiTheme="minorAscii"/>
          <w:sz w:val="72"/>
          <w:szCs w:val="96"/>
          <w:lang w:val="en-US" w:eastAsia="zh-CN"/>
        </w:rPr>
        <w:sectPr>
          <w:pgSz w:w="11906" w:h="16838"/>
          <w:pgMar w:top="1440" w:right="1800" w:bottom="1440" w:left="1800" w:header="851" w:footer="992" w:gutter="0"/>
          <w:cols w:space="425" w:num="1"/>
          <w:docGrid w:type="lines" w:linePitch="312" w:charSpace="0"/>
        </w:sectPr>
      </w:pPr>
    </w:p>
    <w:p w14:paraId="6191E7E4">
      <w:pPr>
        <w:keepNext w:val="0"/>
        <w:keepLines w:val="0"/>
        <w:pageBreakBefore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default" w:ascii="Segoe UI" w:hAnsi="Segoe UI" w:eastAsia="黑体" w:cs="Segoe UI"/>
          <w:b/>
          <w:bCs/>
          <w:i w:val="0"/>
          <w:iCs w:val="0"/>
          <w:caps w:val="0"/>
          <w:color w:val="000000"/>
          <w:spacing w:val="0"/>
          <w:sz w:val="32"/>
          <w:szCs w:val="18"/>
          <w:lang w:val="en-US" w:eastAsia="zh-CN"/>
        </w:rPr>
      </w:pPr>
      <w:bookmarkStart w:id="0" w:name="_Toc31413"/>
      <w:r>
        <w:rPr>
          <w:rFonts w:hint="eastAsia" w:ascii="Segoe UI" w:hAnsi="Segoe UI" w:eastAsia="黑体" w:cs="Segoe UI"/>
          <w:b/>
          <w:bCs/>
          <w:i w:val="0"/>
          <w:iCs w:val="0"/>
          <w:caps w:val="0"/>
          <w:color w:val="000000"/>
          <w:spacing w:val="0"/>
          <w:sz w:val="32"/>
          <w:szCs w:val="18"/>
          <w:lang w:val="en-US" w:eastAsia="zh-CN"/>
        </w:rPr>
        <w:t>摘要</w:t>
      </w:r>
      <w:bookmarkEnd w:id="0"/>
    </w:p>
    <w:p w14:paraId="3AF37CFB">
      <w:pPr>
        <w:bidi w:val="0"/>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本项目推出 “AI 视觉引导 + SLAM 导航” 全自主分拣搬运机器人，以树莓派 5 与 STM32 双核心为硬件基础，融合两大核心技术，适配工业仓储、智能物流等场景，破解传统设备依赖人工、效率低、适配弱的痛点。产品搭载高精度激光雷达、3D 深度相机等部件，0.1-13.4 米内精准识别导航，分拣准确率超 95%，日均处理货物超 2000 件。</w:t>
      </w:r>
    </w:p>
    <w:p w14:paraId="0553C0A1">
      <w:pPr>
        <w:bidi w:val="0"/>
        <w:rPr>
          <w:rFonts w:hint="default"/>
          <w:lang w:val="en-US" w:eastAsia="zh-CN"/>
        </w:rPr>
      </w:pPr>
      <w:r>
        <w:rPr>
          <w:rFonts w:hint="default" w:ascii="宋体" w:hAnsi="宋体" w:eastAsia="宋体" w:cs="宋体"/>
          <w:kern w:val="0"/>
          <w:sz w:val="24"/>
          <w:szCs w:val="24"/>
          <w:lang w:val="en-US" w:eastAsia="zh-CN" w:bidi="ar"/>
        </w:rPr>
        <w:t>核心创新为 AI 视觉与 SLAM 导航深度融合，具备动态感知、实时避障等能力，且采用低功耗环保设计，年减碳超 8kg。商业模式为 “硬件销售 + 软件订阅 + 运维服务” 三位一体，聚焦中小制造企业等客户，契合工业自动化与</w:t>
      </w:r>
      <w:r>
        <w:rPr>
          <w:rFonts w:hint="default"/>
          <w:lang w:val="en-US" w:eastAsia="zh-CN"/>
        </w:rPr>
        <w:t>绿色低碳趋势，技术壁垒显著，市场潜力广阔。</w:t>
      </w:r>
    </w:p>
    <w:p w14:paraId="4B1C0DCD">
      <w:pPr>
        <w:keepNext w:val="0"/>
        <w:keepLines w:val="0"/>
        <w:pageBreakBefore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default" w:ascii="Segoe UI" w:hAnsi="Segoe UI" w:eastAsia="黑体" w:cs="Segoe UI"/>
          <w:b/>
          <w:bCs/>
          <w:i w:val="0"/>
          <w:iCs w:val="0"/>
          <w:caps w:val="0"/>
          <w:color w:val="000000"/>
          <w:spacing w:val="0"/>
          <w:sz w:val="32"/>
          <w:szCs w:val="18"/>
          <w:lang w:val="en-US" w:eastAsia="zh-CN"/>
        </w:rPr>
      </w:pPr>
      <w:bookmarkStart w:id="1" w:name="_Toc22570"/>
      <w:r>
        <w:rPr>
          <w:rFonts w:hint="default" w:ascii="Segoe UI" w:hAnsi="Segoe UI" w:eastAsia="黑体" w:cs="Segoe UI"/>
          <w:b/>
          <w:bCs/>
          <w:i w:val="0"/>
          <w:iCs w:val="0"/>
          <w:caps w:val="0"/>
          <w:color w:val="000000"/>
          <w:spacing w:val="0"/>
          <w:sz w:val="32"/>
          <w:szCs w:val="18"/>
          <w:lang w:val="en-US" w:eastAsia="zh-CN"/>
        </w:rPr>
        <w:t>核心功能</w:t>
      </w:r>
      <w:bookmarkEnd w:id="1"/>
    </w:p>
    <w:p w14:paraId="2F63E204">
      <w:pPr>
        <w:bidi w:val="0"/>
        <w:rPr>
          <w:rFonts w:hint="default"/>
          <w:lang w:val="en-US" w:eastAsia="zh-CN"/>
        </w:rPr>
      </w:pPr>
      <w:r>
        <w:rPr>
          <w:rFonts w:hint="default"/>
          <w:lang w:val="en-US" w:eastAsia="zh-CN"/>
        </w:rPr>
        <w:t>针对工业仓储、智能物流等场景的自动化需求，本文研究的机器人以“AI视觉引导+SLAM导航”技术融合为核心，通过多技术协同突破人工操作瓶颈，其核心功能研究如下。</w:t>
      </w:r>
    </w:p>
    <w:p w14:paraId="02F6514E">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lang w:val="en-US" w:eastAsia="zh-CN"/>
        </w:rPr>
        <w:t>实现全自主分拣搬运。该机器人可完成“识别-规划-移动-抓取-摆放”全流程无人干预操作，经实测，单套分拣搬运流程耗</w:t>
      </w:r>
      <w:r>
        <w:rPr>
          <w:rFonts w:hint="default" w:ascii="宋体" w:hAnsi="宋体" w:eastAsia="宋体" w:cs="宋体"/>
          <w:kern w:val="0"/>
          <w:sz w:val="24"/>
          <w:szCs w:val="24"/>
          <w:lang w:val="en-US" w:eastAsia="zh-CN" w:bidi="ar"/>
        </w:rPr>
        <w:t>时≤10秒，日均分拣货物量超2000件，能够高效替代传统人工分拣搬运岗位，大幅降低人力成本与操作失误率。</w:t>
      </w:r>
    </w:p>
    <w:p w14:paraId="5B4F6C45">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I识别精度达高标准。融合双相机采集的数据与YOLOv8目标检测模型，机器人可精准识别50余种不同类型货物，适配3-30cm范围内多尺寸、多SKU的货物形态，分拣准确率≥95%，其中实测准确率可达96.8%，完全满足工业场景的高精度分拣需求。</w:t>
      </w:r>
    </w:p>
    <w:p w14:paraId="2464260E">
      <w:pPr>
        <w:keepNext w:val="0"/>
        <w:keepLines w:val="0"/>
        <w:widowControl/>
        <w:suppressLineNumbers w:val="0"/>
        <w:jc w:val="left"/>
        <w:rPr>
          <w:rFonts w:hint="default"/>
          <w:lang w:val="en-US" w:eastAsia="zh-CN"/>
        </w:rPr>
      </w:pPr>
      <w:r>
        <w:rPr>
          <w:rFonts w:hint="default" w:ascii="宋体" w:hAnsi="宋体" w:eastAsia="宋体" w:cs="宋体"/>
          <w:kern w:val="0"/>
          <w:sz w:val="24"/>
          <w:szCs w:val="24"/>
          <w:lang w:val="en-US" w:eastAsia="zh-CN" w:bidi="ar"/>
        </w:rPr>
        <w:t>导航避障性能优异。搭载MS200激光雷达组件，其定位误差可控制在5cm以内，面对动态障碍物时，响应时间≤0.3秒，结合360°全方位环境感知能力，能够灵活适配仓储、车间等复杂场景的路径规划与避障需求，</w:t>
      </w:r>
      <w:r>
        <w:rPr>
          <w:rFonts w:hint="default"/>
          <w:lang w:val="en-US" w:eastAsia="zh-CN"/>
        </w:rPr>
        <w:t>避免设备碰撞与货物损坏。</w:t>
      </w:r>
    </w:p>
    <w:p w14:paraId="61031372">
      <w:pPr>
        <w:bidi w:val="0"/>
        <w:rPr>
          <w:rFonts w:hint="default"/>
          <w:lang w:val="en-US" w:eastAsia="zh-CN"/>
        </w:rPr>
      </w:pPr>
      <w:r>
        <w:rPr>
          <w:rFonts w:hint="default"/>
          <w:lang w:val="en-US" w:eastAsia="zh-CN"/>
        </w:rPr>
        <w:t>场景适配性极强。无需复杂的现场调试流程，机器人即可快速切换仓储、车间等不同应用场景，不仅能适配狭窄通道、不平地面等复杂场地条件，还能有效应对碎片化订单处理与分拣峰值压力，提升场景应用的灵活性与实用性。</w:t>
      </w:r>
    </w:p>
    <w:p w14:paraId="75635A4E">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lang w:val="en-US" w:eastAsia="zh-CN"/>
        </w:rPr>
        <w:t>智能交互辅助高效。采用本地+云端双大模型部署模式，支持语音控制功能且语音识别准确</w:t>
      </w:r>
      <w:r>
        <w:rPr>
          <w:rFonts w:hint="default" w:ascii="宋体" w:hAnsi="宋体" w:eastAsia="宋体" w:cs="宋体"/>
          <w:kern w:val="0"/>
          <w:sz w:val="24"/>
          <w:szCs w:val="24"/>
          <w:lang w:val="en-US" w:eastAsia="zh-CN" w:bidi="ar"/>
        </w:rPr>
        <w:t>率≥90%，同时可根据现场操作数据，为用户提供分拣效率优化建议，以及设备常见故障的快速诊断方案，降低设备运维成本。</w:t>
      </w:r>
    </w:p>
    <w:p w14:paraId="0124F421">
      <w:pPr>
        <w:keepNext w:val="0"/>
        <w:keepLines w:val="0"/>
        <w:widowControl/>
        <w:suppressLineNumbers w:val="0"/>
        <w:jc w:val="left"/>
        <w:rPr>
          <w:rFonts w:hint="default"/>
          <w:lang w:val="en-US" w:eastAsia="zh-CN"/>
        </w:rPr>
      </w:pPr>
      <w:r>
        <w:rPr>
          <w:rFonts w:hint="default" w:ascii="宋体" w:hAnsi="宋体" w:eastAsia="宋体" w:cs="宋体"/>
          <w:kern w:val="0"/>
          <w:sz w:val="24"/>
          <w:szCs w:val="24"/>
          <w:lang w:val="en-US" w:eastAsia="zh-CN" w:bidi="ar"/>
        </w:rPr>
        <w:t>远程监控管理便捷。配备WiFi与4G双网络切换模块，用户可通过手机APP实时监控设备运行状态与各项操作数据，云管理平台会自动统计相关参数并生成分析报表，同时支持远程指令下发与OTA在</w:t>
      </w:r>
      <w:r>
        <w:rPr>
          <w:rFonts w:hint="default"/>
          <w:lang w:val="en-US" w:eastAsia="zh-CN"/>
        </w:rPr>
        <w:t>线升级，实现设备的智能化、远程化管理。</w:t>
      </w:r>
    </w:p>
    <w:p w14:paraId="054E8704">
      <w:pPr>
        <w:bidi w:val="0"/>
        <w:rPr>
          <w:rFonts w:hint="default" w:ascii="宋体" w:hAnsi="宋体" w:eastAsia="宋体" w:cs="宋体"/>
          <w:kern w:val="0"/>
          <w:sz w:val="24"/>
          <w:szCs w:val="24"/>
          <w:lang w:val="en-US" w:eastAsia="zh-CN" w:bidi="ar"/>
        </w:rPr>
      </w:pPr>
      <w:r>
        <w:rPr>
          <w:rFonts w:hint="default"/>
          <w:lang w:val="en-US" w:eastAsia="zh-CN"/>
        </w:rPr>
        <w:t>践行绿色低功耗理念。采</w:t>
      </w:r>
      <w:r>
        <w:rPr>
          <w:rFonts w:hint="default" w:ascii="宋体" w:hAnsi="宋体" w:eastAsia="宋体" w:cs="宋体"/>
          <w:kern w:val="0"/>
          <w:sz w:val="24"/>
          <w:szCs w:val="24"/>
          <w:lang w:val="en-US" w:eastAsia="zh-CN" w:bidi="ar"/>
        </w:rPr>
        <w:t>用12V锂电池供电</w:t>
      </w:r>
      <w:r>
        <w:rPr>
          <w:rFonts w:hint="default"/>
          <w:lang w:val="en-US" w:eastAsia="zh-CN"/>
        </w:rPr>
        <w:t>，单次</w:t>
      </w:r>
      <w:r>
        <w:rPr>
          <w:rFonts w:hint="default" w:ascii="宋体" w:hAnsi="宋体" w:eastAsia="宋体" w:cs="宋体"/>
          <w:kern w:val="0"/>
          <w:sz w:val="24"/>
          <w:szCs w:val="24"/>
          <w:lang w:val="en-US" w:eastAsia="zh-CN" w:bidi="ar"/>
        </w:rPr>
        <w:t>充电续航时间≥8小时，闲置状态下可自动切换至低功耗模式，能耗较正常模式降低50%；核心部件可回收利用率达70%，经测算，单台设备每年可减少碳排放超8kg，符合工业绿色发展的主流趋势。</w:t>
      </w:r>
    </w:p>
    <w:p w14:paraId="7B30A5FC">
      <w:pPr>
        <w:rPr>
          <w:rFonts w:hint="default" w:eastAsia="宋体" w:asciiTheme="minorAscii" w:hAnsiTheme="minorAscii"/>
          <w:sz w:val="24"/>
          <w:lang w:val="en-US" w:eastAsia="zh-CN"/>
        </w:rPr>
      </w:pPr>
    </w:p>
    <w:p w14:paraId="005D39A1">
      <w:pPr>
        <w:rPr>
          <w:rFonts w:hint="default" w:eastAsia="宋体" w:asciiTheme="minorAscii" w:hAnsiTheme="minorAscii"/>
          <w:sz w:val="24"/>
          <w:lang w:val="en-US" w:eastAsia="zh-CN"/>
        </w:rPr>
      </w:pPr>
    </w:p>
    <w:p w14:paraId="202A2C9A">
      <w:pPr>
        <w:rPr>
          <w:rFonts w:hint="default" w:eastAsia="宋体" w:asciiTheme="minorAscii" w:hAnsiTheme="minorAscii"/>
          <w:sz w:val="24"/>
          <w:lang w:val="en-US" w:eastAsia="zh-CN"/>
        </w:rPr>
      </w:pPr>
    </w:p>
    <w:p w14:paraId="225DD137">
      <w:pPr>
        <w:spacing w:before="0" w:beforeLines="0" w:after="0" w:afterLines="0" w:line="240" w:lineRule="auto"/>
        <w:ind w:left="0" w:leftChars="0" w:right="0" w:rightChars="0" w:firstLine="0" w:firstLineChars="0"/>
        <w:jc w:val="center"/>
        <w:rPr>
          <w:rFonts w:ascii="宋体" w:hAnsi="宋体" w:eastAsia="宋体" w:cstheme="minorBidi"/>
          <w:kern w:val="2"/>
          <w:sz w:val="21"/>
          <w:szCs w:val="24"/>
          <w:lang w:val="en-US" w:eastAsia="zh-CN" w:bidi="ar-SA"/>
        </w:rPr>
        <w:sectPr>
          <w:footerReference r:id="rId5" w:type="default"/>
          <w:pgSz w:w="11906" w:h="16838"/>
          <w:pgMar w:top="1440" w:right="1800" w:bottom="1440" w:left="1800" w:header="851" w:footer="992" w:gutter="0"/>
          <w:pgNumType w:fmt="decimal" w:start="1"/>
          <w:cols w:space="425" w:num="1"/>
          <w:docGrid w:type="lines" w:linePitch="312" w:charSpace="0"/>
        </w:sectPr>
      </w:pPr>
      <w:bookmarkStart w:id="2" w:name="_Toc15410"/>
    </w:p>
    <w:sdt>
      <w:sdtPr>
        <w:rPr>
          <w:rFonts w:ascii="宋体" w:hAnsi="宋体" w:eastAsia="宋体" w:cstheme="minorBidi"/>
          <w:kern w:val="2"/>
          <w:sz w:val="21"/>
          <w:szCs w:val="24"/>
          <w:lang w:val="en-US" w:eastAsia="zh-CN" w:bidi="ar-SA"/>
        </w:rPr>
        <w:id w:val="147451255"/>
        <w15:color w:val="DBDBDB"/>
        <w:docPartObj>
          <w:docPartGallery w:val="Table of Contents"/>
          <w:docPartUnique/>
        </w:docPartObj>
      </w:sdtPr>
      <w:sdtEndPr>
        <w:rPr>
          <w:rFonts w:ascii="宋体" w:hAnsi="宋体" w:eastAsia="宋体" w:cstheme="minorBidi"/>
          <w:kern w:val="2"/>
          <w:sz w:val="21"/>
          <w:szCs w:val="24"/>
          <w:lang w:val="en-US" w:eastAsia="zh-CN" w:bidi="ar-SA"/>
        </w:rPr>
      </w:sdtEndPr>
      <w:sdtContent>
        <w:p w14:paraId="0A1E57E0">
          <w:pPr>
            <w:spacing w:before="0" w:beforeLines="0" w:after="0" w:afterLines="0" w:line="240" w:lineRule="auto"/>
            <w:ind w:left="0" w:leftChars="0" w:right="0" w:rightChars="0" w:firstLine="0" w:firstLineChars="0"/>
            <w:jc w:val="center"/>
            <w:rPr>
              <w:rFonts w:eastAsia="宋体" w:asciiTheme="minorAscii" w:hAnsiTheme="minorAscii" w:cstheme="minorBidi"/>
              <w:kern w:val="2"/>
              <w:sz w:val="24"/>
              <w:szCs w:val="24"/>
              <w:lang w:val="en-US" w:eastAsia="zh-CN" w:bidi="ar-SA"/>
            </w:rPr>
          </w:pPr>
          <w:r>
            <w:rPr>
              <w:rFonts w:ascii="宋体" w:hAnsi="宋体" w:eastAsia="宋体"/>
              <w:sz w:val="21"/>
            </w:rPr>
            <w:t>目录</w:t>
          </w:r>
          <w:r>
            <w:fldChar w:fldCharType="begin"/>
          </w:r>
          <w:r>
            <w:instrText xml:space="preserve">TOC \o "1-2" \h \u </w:instrText>
          </w:r>
          <w:r>
            <w:fldChar w:fldCharType="separate"/>
          </w:r>
        </w:p>
        <w:p w14:paraId="22ECBDA6">
          <w:pPr>
            <w:pStyle w:val="10"/>
            <w:tabs>
              <w:tab w:val="right" w:leader="dot" w:pos="8306"/>
            </w:tabs>
          </w:pPr>
          <w:r>
            <w:fldChar w:fldCharType="begin"/>
          </w:r>
          <w:r>
            <w:instrText xml:space="preserve"> HYPERLINK \l _Toc23531 </w:instrText>
          </w:r>
          <w:r>
            <w:fldChar w:fldCharType="separate"/>
          </w:r>
          <w:r>
            <w:rPr>
              <w:rFonts w:hint="eastAsia"/>
            </w:rPr>
            <w:t xml:space="preserve">一、 </w:t>
          </w:r>
          <w:r>
            <w:rPr>
              <w:rFonts w:hint="default"/>
            </w:rPr>
            <w:t>项目背景</w:t>
          </w:r>
          <w:r>
            <w:tab/>
          </w:r>
          <w:r>
            <w:fldChar w:fldCharType="begin"/>
          </w:r>
          <w:r>
            <w:instrText xml:space="preserve"> PAGEREF _Toc23531 \h </w:instrText>
          </w:r>
          <w:r>
            <w:fldChar w:fldCharType="separate"/>
          </w:r>
          <w:r>
            <w:t>1</w:t>
          </w:r>
          <w:r>
            <w:fldChar w:fldCharType="end"/>
          </w:r>
          <w:r>
            <w:fldChar w:fldCharType="end"/>
          </w:r>
        </w:p>
        <w:p w14:paraId="4B297F10">
          <w:pPr>
            <w:pStyle w:val="12"/>
            <w:tabs>
              <w:tab w:val="right" w:leader="dot" w:pos="8306"/>
            </w:tabs>
          </w:pPr>
          <w:r>
            <w:fldChar w:fldCharType="begin"/>
          </w:r>
          <w:r>
            <w:instrText xml:space="preserve"> HYPERLINK \l _Toc18638 </w:instrText>
          </w:r>
          <w:r>
            <w:fldChar w:fldCharType="separate"/>
          </w:r>
          <w:r>
            <w:rPr>
              <w:rFonts w:hint="default" w:ascii="黑体" w:hAnsi="黑体" w:eastAsia="黑体" w:cs="黑体"/>
              <w:lang w:val="en-US" w:eastAsia="zh-CN"/>
            </w:rPr>
            <w:t xml:space="preserve">1.1 </w:t>
          </w:r>
          <w:r>
            <w:rPr>
              <w:rFonts w:hint="default"/>
              <w:lang w:val="en-US" w:eastAsia="zh-CN"/>
            </w:rPr>
            <w:t>社会需求与行业痛点</w:t>
          </w:r>
          <w:r>
            <w:tab/>
          </w:r>
          <w:r>
            <w:fldChar w:fldCharType="begin"/>
          </w:r>
          <w:r>
            <w:instrText xml:space="preserve"> PAGEREF _Toc18638 \h </w:instrText>
          </w:r>
          <w:r>
            <w:fldChar w:fldCharType="separate"/>
          </w:r>
          <w:r>
            <w:t>1</w:t>
          </w:r>
          <w:r>
            <w:fldChar w:fldCharType="end"/>
          </w:r>
          <w:r>
            <w:fldChar w:fldCharType="end"/>
          </w:r>
        </w:p>
        <w:p w14:paraId="206AE175">
          <w:pPr>
            <w:pStyle w:val="12"/>
            <w:tabs>
              <w:tab w:val="right" w:leader="dot" w:pos="8306"/>
            </w:tabs>
          </w:pPr>
          <w:r>
            <w:fldChar w:fldCharType="begin"/>
          </w:r>
          <w:r>
            <w:instrText xml:space="preserve"> HYPERLINK \l _Toc1535 </w:instrText>
          </w:r>
          <w:r>
            <w:fldChar w:fldCharType="separate"/>
          </w:r>
          <w:r>
            <w:rPr>
              <w:rFonts w:hint="default" w:ascii="黑体" w:hAnsi="黑体" w:eastAsia="黑体" w:cs="黑体"/>
              <w:lang w:val="en-US" w:eastAsia="zh-CN"/>
            </w:rPr>
            <w:t xml:space="preserve">1.2 </w:t>
          </w:r>
          <w:r>
            <w:rPr>
              <w:rFonts w:hint="default"/>
              <w:lang w:val="en-US" w:eastAsia="zh-CN"/>
            </w:rPr>
            <w:t>政策与行业趋势</w:t>
          </w:r>
          <w:r>
            <w:tab/>
          </w:r>
          <w:r>
            <w:fldChar w:fldCharType="begin"/>
          </w:r>
          <w:r>
            <w:instrText xml:space="preserve"> PAGEREF _Toc1535 \h </w:instrText>
          </w:r>
          <w:r>
            <w:fldChar w:fldCharType="separate"/>
          </w:r>
          <w:r>
            <w:t>1</w:t>
          </w:r>
          <w:r>
            <w:fldChar w:fldCharType="end"/>
          </w:r>
          <w:r>
            <w:fldChar w:fldCharType="end"/>
          </w:r>
        </w:p>
        <w:p w14:paraId="4F0578E0">
          <w:pPr>
            <w:pStyle w:val="12"/>
            <w:tabs>
              <w:tab w:val="right" w:leader="dot" w:pos="8306"/>
            </w:tabs>
          </w:pPr>
          <w:r>
            <w:fldChar w:fldCharType="begin"/>
          </w:r>
          <w:r>
            <w:instrText xml:space="preserve"> HYPERLINK \l _Toc4301 </w:instrText>
          </w:r>
          <w:r>
            <w:fldChar w:fldCharType="separate"/>
          </w:r>
          <w:r>
            <w:rPr>
              <w:rFonts w:hint="default" w:ascii="黑体" w:hAnsi="黑体" w:eastAsia="黑体" w:cs="黑体"/>
              <w:lang w:val="en-US" w:eastAsia="zh-CN"/>
            </w:rPr>
            <w:t xml:space="preserve">1.3 </w:t>
          </w:r>
          <w:r>
            <w:rPr>
              <w:rFonts w:hint="default"/>
              <w:lang w:val="en-US" w:eastAsia="zh-CN"/>
            </w:rPr>
            <w:t>项目核心使命与生态文明价值</w:t>
          </w:r>
          <w:r>
            <w:tab/>
          </w:r>
          <w:r>
            <w:fldChar w:fldCharType="begin"/>
          </w:r>
          <w:r>
            <w:instrText xml:space="preserve"> PAGEREF _Toc4301 \h </w:instrText>
          </w:r>
          <w:r>
            <w:fldChar w:fldCharType="separate"/>
          </w:r>
          <w:r>
            <w:t>2</w:t>
          </w:r>
          <w:r>
            <w:fldChar w:fldCharType="end"/>
          </w:r>
          <w:r>
            <w:fldChar w:fldCharType="end"/>
          </w:r>
        </w:p>
        <w:p w14:paraId="13118A0F">
          <w:pPr>
            <w:pStyle w:val="10"/>
            <w:tabs>
              <w:tab w:val="right" w:leader="dot" w:pos="8306"/>
            </w:tabs>
          </w:pPr>
          <w:r>
            <w:fldChar w:fldCharType="begin"/>
          </w:r>
          <w:r>
            <w:instrText xml:space="preserve"> HYPERLINK \l _Toc32628 </w:instrText>
          </w:r>
          <w:r>
            <w:fldChar w:fldCharType="separate"/>
          </w:r>
          <w:r>
            <w:rPr>
              <w:rFonts w:hint="eastAsia"/>
            </w:rPr>
            <w:t xml:space="preserve">二、 </w:t>
          </w:r>
          <w:r>
            <w:rPr>
              <w:rFonts w:hint="default"/>
            </w:rPr>
            <w:t>市场分析</w:t>
          </w:r>
          <w:r>
            <w:rPr>
              <w:rFonts w:hint="eastAsia"/>
              <w:lang w:val="en-US" w:eastAsia="zh-CN"/>
            </w:rPr>
            <w:t>与成本核算</w:t>
          </w:r>
          <w:r>
            <w:tab/>
          </w:r>
          <w:r>
            <w:fldChar w:fldCharType="begin"/>
          </w:r>
          <w:r>
            <w:instrText xml:space="preserve"> PAGEREF _Toc32628 \h </w:instrText>
          </w:r>
          <w:r>
            <w:fldChar w:fldCharType="separate"/>
          </w:r>
          <w:r>
            <w:t>3</w:t>
          </w:r>
          <w:r>
            <w:fldChar w:fldCharType="end"/>
          </w:r>
          <w:r>
            <w:fldChar w:fldCharType="end"/>
          </w:r>
        </w:p>
        <w:p w14:paraId="5E9217DB">
          <w:pPr>
            <w:pStyle w:val="12"/>
            <w:tabs>
              <w:tab w:val="right" w:leader="dot" w:pos="8306"/>
            </w:tabs>
          </w:pPr>
          <w:r>
            <w:fldChar w:fldCharType="begin"/>
          </w:r>
          <w:r>
            <w:instrText xml:space="preserve"> HYPERLINK \l _Toc17342 </w:instrText>
          </w:r>
          <w:r>
            <w:fldChar w:fldCharType="separate"/>
          </w:r>
          <w:r>
            <w:rPr>
              <w:rFonts w:hint="default" w:ascii="黑体" w:hAnsi="黑体" w:eastAsia="黑体" w:cs="黑体"/>
              <w:lang w:val="en-US" w:eastAsia="zh-CN"/>
            </w:rPr>
            <w:t xml:space="preserve">2.1 </w:t>
          </w:r>
          <w:r>
            <w:rPr>
              <w:rFonts w:hint="default"/>
              <w:lang w:val="en-US" w:eastAsia="zh-CN"/>
            </w:rPr>
            <w:t>市场规模与增长潜力</w:t>
          </w:r>
          <w:r>
            <w:tab/>
          </w:r>
          <w:r>
            <w:fldChar w:fldCharType="begin"/>
          </w:r>
          <w:r>
            <w:instrText xml:space="preserve"> PAGEREF _Toc17342 \h </w:instrText>
          </w:r>
          <w:r>
            <w:fldChar w:fldCharType="separate"/>
          </w:r>
          <w:r>
            <w:t>3</w:t>
          </w:r>
          <w:r>
            <w:fldChar w:fldCharType="end"/>
          </w:r>
          <w:r>
            <w:fldChar w:fldCharType="end"/>
          </w:r>
        </w:p>
        <w:p w14:paraId="4A422971">
          <w:pPr>
            <w:pStyle w:val="12"/>
            <w:tabs>
              <w:tab w:val="right" w:leader="dot" w:pos="8306"/>
            </w:tabs>
          </w:pPr>
          <w:r>
            <w:fldChar w:fldCharType="begin"/>
          </w:r>
          <w:r>
            <w:instrText xml:space="preserve"> HYPERLINK \l _Toc19925 </w:instrText>
          </w:r>
          <w:r>
            <w:fldChar w:fldCharType="separate"/>
          </w:r>
          <w:r>
            <w:rPr>
              <w:rFonts w:hint="default" w:ascii="黑体" w:hAnsi="黑体" w:eastAsia="黑体" w:cs="黑体"/>
              <w:lang w:val="en-US" w:eastAsia="zh-CN"/>
            </w:rPr>
            <w:t xml:space="preserve">2.2 </w:t>
          </w:r>
          <w:r>
            <w:rPr>
              <w:rFonts w:hint="default"/>
              <w:lang w:val="en-US" w:eastAsia="zh-CN"/>
            </w:rPr>
            <w:t>竞争格局分析</w:t>
          </w:r>
          <w:r>
            <w:tab/>
          </w:r>
          <w:r>
            <w:fldChar w:fldCharType="begin"/>
          </w:r>
          <w:r>
            <w:instrText xml:space="preserve"> PAGEREF _Toc19925 \h </w:instrText>
          </w:r>
          <w:r>
            <w:fldChar w:fldCharType="separate"/>
          </w:r>
          <w:r>
            <w:t>4</w:t>
          </w:r>
          <w:r>
            <w:fldChar w:fldCharType="end"/>
          </w:r>
          <w:r>
            <w:fldChar w:fldCharType="end"/>
          </w:r>
        </w:p>
        <w:p w14:paraId="08902FAA">
          <w:pPr>
            <w:pStyle w:val="12"/>
            <w:tabs>
              <w:tab w:val="right" w:leader="dot" w:pos="8306"/>
            </w:tabs>
          </w:pPr>
          <w:r>
            <w:fldChar w:fldCharType="begin"/>
          </w:r>
          <w:r>
            <w:instrText xml:space="preserve"> HYPERLINK \l _Toc21406 </w:instrText>
          </w:r>
          <w:r>
            <w:fldChar w:fldCharType="separate"/>
          </w:r>
          <w:r>
            <w:rPr>
              <w:rFonts w:hint="default" w:ascii="黑体" w:hAnsi="黑体" w:eastAsia="黑体" w:cs="黑体"/>
              <w:lang w:val="en-US" w:eastAsia="zh-CN"/>
            </w:rPr>
            <w:t xml:space="preserve">2.3 </w:t>
          </w:r>
          <w:r>
            <w:rPr>
              <w:rFonts w:hint="default"/>
              <w:lang w:val="en-US" w:eastAsia="zh-CN"/>
            </w:rPr>
            <w:t>目标市场定位</w:t>
          </w:r>
          <w:r>
            <w:tab/>
          </w:r>
          <w:r>
            <w:fldChar w:fldCharType="begin"/>
          </w:r>
          <w:r>
            <w:instrText xml:space="preserve"> PAGEREF _Toc21406 \h </w:instrText>
          </w:r>
          <w:r>
            <w:fldChar w:fldCharType="separate"/>
          </w:r>
          <w:r>
            <w:t>5</w:t>
          </w:r>
          <w:r>
            <w:fldChar w:fldCharType="end"/>
          </w:r>
          <w:r>
            <w:fldChar w:fldCharType="end"/>
          </w:r>
        </w:p>
        <w:p w14:paraId="26B2E55E">
          <w:pPr>
            <w:pStyle w:val="12"/>
            <w:tabs>
              <w:tab w:val="right" w:leader="dot" w:pos="8306"/>
            </w:tabs>
          </w:pPr>
          <w:r>
            <w:fldChar w:fldCharType="begin"/>
          </w:r>
          <w:r>
            <w:instrText xml:space="preserve"> HYPERLINK \l _Toc6982 </w:instrText>
          </w:r>
          <w:r>
            <w:fldChar w:fldCharType="separate"/>
          </w:r>
          <w:r>
            <w:rPr>
              <w:rFonts w:hint="default" w:ascii="黑体" w:hAnsi="黑体" w:eastAsia="黑体" w:cs="黑体"/>
              <w:lang w:val="en-US" w:eastAsia="zh-CN"/>
            </w:rPr>
            <w:t xml:space="preserve">2.4 </w:t>
          </w:r>
          <w:r>
            <w:rPr>
              <w:rFonts w:hint="default"/>
              <w:lang w:val="en-US" w:eastAsia="zh-CN"/>
            </w:rPr>
            <w:t>成本核算</w:t>
          </w:r>
          <w:r>
            <w:tab/>
          </w:r>
          <w:r>
            <w:fldChar w:fldCharType="begin"/>
          </w:r>
          <w:r>
            <w:instrText xml:space="preserve"> PAGEREF _Toc6982 \h </w:instrText>
          </w:r>
          <w:r>
            <w:fldChar w:fldCharType="separate"/>
          </w:r>
          <w:r>
            <w:t>6</w:t>
          </w:r>
          <w:r>
            <w:fldChar w:fldCharType="end"/>
          </w:r>
          <w:r>
            <w:fldChar w:fldCharType="end"/>
          </w:r>
        </w:p>
        <w:p w14:paraId="496B8415">
          <w:pPr>
            <w:pStyle w:val="10"/>
            <w:tabs>
              <w:tab w:val="right" w:leader="dot" w:pos="8306"/>
            </w:tabs>
          </w:pPr>
          <w:r>
            <w:fldChar w:fldCharType="begin"/>
          </w:r>
          <w:r>
            <w:instrText xml:space="preserve"> HYPERLINK \l _Toc10680 </w:instrText>
          </w:r>
          <w:r>
            <w:fldChar w:fldCharType="separate"/>
          </w:r>
          <w:r>
            <w:rPr>
              <w:rFonts w:hint="eastAsia"/>
            </w:rPr>
            <w:t xml:space="preserve">三、 </w:t>
          </w:r>
          <w:r>
            <w:rPr>
              <w:rFonts w:hint="default"/>
            </w:rPr>
            <w:t>产品</w:t>
          </w:r>
          <w:r>
            <w:rPr>
              <w:rFonts w:hint="eastAsia"/>
              <w:lang w:val="en-US" w:eastAsia="zh-CN"/>
            </w:rPr>
            <w:t>介绍</w:t>
          </w:r>
          <w:r>
            <w:tab/>
          </w:r>
          <w:r>
            <w:fldChar w:fldCharType="begin"/>
          </w:r>
          <w:r>
            <w:instrText xml:space="preserve"> PAGEREF _Toc10680 \h </w:instrText>
          </w:r>
          <w:r>
            <w:fldChar w:fldCharType="separate"/>
          </w:r>
          <w:r>
            <w:t>6</w:t>
          </w:r>
          <w:r>
            <w:fldChar w:fldCharType="end"/>
          </w:r>
          <w:r>
            <w:fldChar w:fldCharType="end"/>
          </w:r>
        </w:p>
        <w:p w14:paraId="7D427447">
          <w:pPr>
            <w:pStyle w:val="12"/>
            <w:tabs>
              <w:tab w:val="right" w:leader="dot" w:pos="8306"/>
            </w:tabs>
          </w:pPr>
          <w:r>
            <w:fldChar w:fldCharType="begin"/>
          </w:r>
          <w:r>
            <w:instrText xml:space="preserve"> HYPERLINK \l _Toc15567 </w:instrText>
          </w:r>
          <w:r>
            <w:fldChar w:fldCharType="separate"/>
          </w:r>
          <w:r>
            <w:rPr>
              <w:rFonts w:hint="default" w:ascii="黑体" w:hAnsi="黑体" w:eastAsia="黑体" w:cs="黑体"/>
              <w:lang w:val="en-US" w:eastAsia="zh-CN"/>
            </w:rPr>
            <w:t xml:space="preserve">3.1 </w:t>
          </w:r>
          <w:r>
            <w:rPr>
              <w:rFonts w:hint="eastAsia"/>
              <w:lang w:val="en-US" w:eastAsia="zh-CN"/>
            </w:rPr>
            <w:t>产品架构设计</w:t>
          </w:r>
          <w:r>
            <w:tab/>
          </w:r>
          <w:r>
            <w:fldChar w:fldCharType="begin"/>
          </w:r>
          <w:r>
            <w:instrText xml:space="preserve"> PAGEREF _Toc15567 \h </w:instrText>
          </w:r>
          <w:r>
            <w:fldChar w:fldCharType="separate"/>
          </w:r>
          <w:r>
            <w:t>6</w:t>
          </w:r>
          <w:r>
            <w:fldChar w:fldCharType="end"/>
          </w:r>
          <w:r>
            <w:fldChar w:fldCharType="end"/>
          </w:r>
        </w:p>
        <w:p w14:paraId="512FF447">
          <w:pPr>
            <w:pStyle w:val="12"/>
            <w:tabs>
              <w:tab w:val="right" w:leader="dot" w:pos="8306"/>
            </w:tabs>
          </w:pPr>
          <w:r>
            <w:fldChar w:fldCharType="begin"/>
          </w:r>
          <w:r>
            <w:instrText xml:space="preserve"> HYPERLINK \l _Toc15414 </w:instrText>
          </w:r>
          <w:r>
            <w:fldChar w:fldCharType="separate"/>
          </w:r>
          <w:r>
            <w:rPr>
              <w:rFonts w:hint="default" w:ascii="黑体" w:hAnsi="黑体" w:eastAsia="黑体" w:cs="黑体"/>
              <w:lang w:val="en-US" w:eastAsia="zh-CN"/>
            </w:rPr>
            <w:t xml:space="preserve">3.2 </w:t>
          </w:r>
          <w:r>
            <w:rPr>
              <w:rFonts w:hint="eastAsia"/>
              <w:lang w:val="en-US" w:eastAsia="zh-CN"/>
            </w:rPr>
            <w:t>核心</w:t>
          </w:r>
          <w:r>
            <w:rPr>
              <w:rFonts w:hint="default"/>
              <w:lang w:val="en-US" w:eastAsia="zh-CN"/>
            </w:rPr>
            <w:t>硬件</w:t>
          </w:r>
          <w:r>
            <w:rPr>
              <w:rFonts w:hint="eastAsia"/>
              <w:lang w:val="en-US" w:eastAsia="zh-CN"/>
            </w:rPr>
            <w:t>选型</w:t>
          </w:r>
          <w:r>
            <w:tab/>
          </w:r>
          <w:r>
            <w:fldChar w:fldCharType="begin"/>
          </w:r>
          <w:r>
            <w:instrText xml:space="preserve"> PAGEREF _Toc15414 \h </w:instrText>
          </w:r>
          <w:r>
            <w:fldChar w:fldCharType="separate"/>
          </w:r>
          <w:r>
            <w:t>7</w:t>
          </w:r>
          <w:r>
            <w:fldChar w:fldCharType="end"/>
          </w:r>
          <w:r>
            <w:fldChar w:fldCharType="end"/>
          </w:r>
        </w:p>
        <w:p w14:paraId="17D0F375">
          <w:pPr>
            <w:pStyle w:val="12"/>
            <w:tabs>
              <w:tab w:val="right" w:leader="dot" w:pos="8306"/>
            </w:tabs>
          </w:pPr>
          <w:r>
            <w:fldChar w:fldCharType="begin"/>
          </w:r>
          <w:r>
            <w:instrText xml:space="preserve"> HYPERLINK \l _Toc30767 </w:instrText>
          </w:r>
          <w:r>
            <w:fldChar w:fldCharType="separate"/>
          </w:r>
          <w:r>
            <w:rPr>
              <w:rFonts w:hint="default" w:ascii="黑体" w:hAnsi="黑体" w:eastAsia="黑体" w:cs="黑体"/>
              <w:lang w:val="en-US" w:eastAsia="zh-CN"/>
            </w:rPr>
            <w:t xml:space="preserve">3.3 </w:t>
          </w:r>
          <w:r>
            <w:rPr>
              <w:rFonts w:hint="default"/>
              <w:lang w:val="en-US" w:eastAsia="zh-CN"/>
            </w:rPr>
            <w:t>硬件电路设计</w:t>
          </w:r>
          <w:r>
            <w:tab/>
          </w:r>
          <w:r>
            <w:fldChar w:fldCharType="begin"/>
          </w:r>
          <w:r>
            <w:instrText xml:space="preserve"> PAGEREF _Toc30767 \h </w:instrText>
          </w:r>
          <w:r>
            <w:fldChar w:fldCharType="separate"/>
          </w:r>
          <w:r>
            <w:t>8</w:t>
          </w:r>
          <w:r>
            <w:fldChar w:fldCharType="end"/>
          </w:r>
          <w:r>
            <w:fldChar w:fldCharType="end"/>
          </w:r>
        </w:p>
        <w:p w14:paraId="2435D24F">
          <w:pPr>
            <w:pStyle w:val="12"/>
            <w:tabs>
              <w:tab w:val="right" w:leader="dot" w:pos="8306"/>
            </w:tabs>
          </w:pPr>
          <w:r>
            <w:fldChar w:fldCharType="begin"/>
          </w:r>
          <w:r>
            <w:instrText xml:space="preserve"> HYPERLINK \l _Toc10538 </w:instrText>
          </w:r>
          <w:r>
            <w:fldChar w:fldCharType="separate"/>
          </w:r>
          <w:r>
            <w:rPr>
              <w:rFonts w:hint="default" w:ascii="黑体" w:hAnsi="黑体" w:eastAsia="黑体" w:cs="黑体"/>
              <w:lang w:val="en-US" w:eastAsia="zh-CN"/>
            </w:rPr>
            <w:t xml:space="preserve">3.4 </w:t>
          </w:r>
          <w:r>
            <w:rPr>
              <w:rFonts w:hint="default"/>
              <w:lang w:val="en-US" w:eastAsia="zh-CN"/>
            </w:rPr>
            <w:t>硬件集成实现</w:t>
          </w:r>
          <w:r>
            <w:tab/>
          </w:r>
          <w:r>
            <w:fldChar w:fldCharType="begin"/>
          </w:r>
          <w:r>
            <w:instrText xml:space="preserve"> PAGEREF _Toc10538 \h </w:instrText>
          </w:r>
          <w:r>
            <w:fldChar w:fldCharType="separate"/>
          </w:r>
          <w:r>
            <w:t>10</w:t>
          </w:r>
          <w:r>
            <w:fldChar w:fldCharType="end"/>
          </w:r>
          <w:r>
            <w:fldChar w:fldCharType="end"/>
          </w:r>
        </w:p>
        <w:p w14:paraId="7168F296">
          <w:pPr>
            <w:pStyle w:val="12"/>
            <w:tabs>
              <w:tab w:val="right" w:leader="dot" w:pos="8306"/>
            </w:tabs>
          </w:pPr>
          <w:r>
            <w:fldChar w:fldCharType="begin"/>
          </w:r>
          <w:r>
            <w:instrText xml:space="preserve"> HYPERLINK \l _Toc27959 </w:instrText>
          </w:r>
          <w:r>
            <w:fldChar w:fldCharType="separate"/>
          </w:r>
          <w:r>
            <w:rPr>
              <w:rFonts w:hint="default" w:ascii="黑体" w:hAnsi="黑体" w:eastAsia="黑体" w:cs="黑体"/>
              <w:lang w:val="en-US" w:eastAsia="zh-CN"/>
            </w:rPr>
            <w:t xml:space="preserve">3.5 </w:t>
          </w:r>
          <w:r>
            <w:rPr>
              <w:rFonts w:hint="default"/>
              <w:lang w:val="en-US" w:eastAsia="zh-CN"/>
            </w:rPr>
            <w:t>主控单元设计</w:t>
          </w:r>
          <w:r>
            <w:tab/>
          </w:r>
          <w:r>
            <w:fldChar w:fldCharType="begin"/>
          </w:r>
          <w:r>
            <w:instrText xml:space="preserve"> PAGEREF _Toc27959 \h </w:instrText>
          </w:r>
          <w:r>
            <w:fldChar w:fldCharType="separate"/>
          </w:r>
          <w:r>
            <w:t>11</w:t>
          </w:r>
          <w:r>
            <w:fldChar w:fldCharType="end"/>
          </w:r>
          <w:r>
            <w:fldChar w:fldCharType="end"/>
          </w:r>
        </w:p>
        <w:p w14:paraId="1FCDDAFE">
          <w:pPr>
            <w:pStyle w:val="12"/>
            <w:tabs>
              <w:tab w:val="right" w:leader="dot" w:pos="8306"/>
            </w:tabs>
          </w:pPr>
          <w:r>
            <w:fldChar w:fldCharType="begin"/>
          </w:r>
          <w:r>
            <w:instrText xml:space="preserve"> HYPERLINK \l _Toc19203 </w:instrText>
          </w:r>
          <w:r>
            <w:fldChar w:fldCharType="separate"/>
          </w:r>
          <w:r>
            <w:rPr>
              <w:rFonts w:hint="default" w:ascii="黑体" w:hAnsi="黑体" w:eastAsia="黑体" w:cs="黑体"/>
              <w:lang w:val="en-US" w:eastAsia="zh-CN"/>
            </w:rPr>
            <w:t xml:space="preserve">3.6 </w:t>
          </w:r>
          <w:r>
            <w:rPr>
              <w:rFonts w:hint="default"/>
              <w:lang w:val="en-US" w:eastAsia="zh-CN"/>
            </w:rPr>
            <w:t>关键模块详细设计</w:t>
          </w:r>
          <w:r>
            <w:tab/>
          </w:r>
          <w:r>
            <w:fldChar w:fldCharType="begin"/>
          </w:r>
          <w:r>
            <w:instrText xml:space="preserve"> PAGEREF _Toc19203 \h </w:instrText>
          </w:r>
          <w:r>
            <w:fldChar w:fldCharType="separate"/>
          </w:r>
          <w:r>
            <w:t>14</w:t>
          </w:r>
          <w:r>
            <w:fldChar w:fldCharType="end"/>
          </w:r>
          <w:r>
            <w:fldChar w:fldCharType="end"/>
          </w:r>
        </w:p>
        <w:p w14:paraId="19E0F7E2">
          <w:pPr>
            <w:pStyle w:val="12"/>
            <w:tabs>
              <w:tab w:val="right" w:leader="dot" w:pos="8306"/>
            </w:tabs>
          </w:pPr>
          <w:r>
            <w:fldChar w:fldCharType="begin"/>
          </w:r>
          <w:r>
            <w:instrText xml:space="preserve"> HYPERLINK \l _Toc26357 </w:instrText>
          </w:r>
          <w:r>
            <w:fldChar w:fldCharType="separate"/>
          </w:r>
          <w:r>
            <w:rPr>
              <w:rFonts w:hint="default" w:ascii="黑体" w:hAnsi="黑体" w:eastAsia="黑体" w:cs="黑体"/>
              <w:lang w:val="en-US" w:eastAsia="zh-CN"/>
            </w:rPr>
            <w:t xml:space="preserve">3.7 </w:t>
          </w:r>
          <w:r>
            <w:rPr>
              <w:rFonts w:hint="default"/>
              <w:lang w:val="en-US" w:eastAsia="zh-CN"/>
            </w:rPr>
            <w:t>配套服务体系</w:t>
          </w:r>
          <w:r>
            <w:tab/>
          </w:r>
          <w:r>
            <w:fldChar w:fldCharType="begin"/>
          </w:r>
          <w:r>
            <w:instrText xml:space="preserve"> PAGEREF _Toc26357 \h </w:instrText>
          </w:r>
          <w:r>
            <w:fldChar w:fldCharType="separate"/>
          </w:r>
          <w:r>
            <w:t>30</w:t>
          </w:r>
          <w:r>
            <w:fldChar w:fldCharType="end"/>
          </w:r>
          <w:r>
            <w:fldChar w:fldCharType="end"/>
          </w:r>
        </w:p>
        <w:p w14:paraId="567A1F59">
          <w:pPr>
            <w:pStyle w:val="10"/>
            <w:tabs>
              <w:tab w:val="right" w:leader="dot" w:pos="8306"/>
            </w:tabs>
          </w:pPr>
          <w:r>
            <w:fldChar w:fldCharType="begin"/>
          </w:r>
          <w:r>
            <w:instrText xml:space="preserve"> HYPERLINK \l _Toc6539 </w:instrText>
          </w:r>
          <w:r>
            <w:fldChar w:fldCharType="separate"/>
          </w:r>
          <w:r>
            <w:rPr>
              <w:rFonts w:hint="eastAsia"/>
              <w:lang w:val="en-US" w:eastAsia="zh-CN"/>
            </w:rPr>
            <w:t xml:space="preserve">四、 </w:t>
          </w:r>
          <w:r>
            <w:rPr>
              <w:rFonts w:hint="default"/>
              <w:lang w:val="en-US" w:eastAsia="zh-CN"/>
            </w:rPr>
            <w:t>系统调试与结果</w:t>
          </w:r>
          <w:r>
            <w:tab/>
          </w:r>
          <w:r>
            <w:fldChar w:fldCharType="begin"/>
          </w:r>
          <w:r>
            <w:instrText xml:space="preserve"> PAGEREF _Toc6539 \h </w:instrText>
          </w:r>
          <w:r>
            <w:fldChar w:fldCharType="separate"/>
          </w:r>
          <w:r>
            <w:t>31</w:t>
          </w:r>
          <w:r>
            <w:fldChar w:fldCharType="end"/>
          </w:r>
          <w:r>
            <w:fldChar w:fldCharType="end"/>
          </w:r>
        </w:p>
        <w:p w14:paraId="00F23514">
          <w:pPr>
            <w:pStyle w:val="12"/>
            <w:tabs>
              <w:tab w:val="right" w:leader="dot" w:pos="8306"/>
            </w:tabs>
          </w:pPr>
          <w:r>
            <w:fldChar w:fldCharType="begin"/>
          </w:r>
          <w:r>
            <w:instrText xml:space="preserve"> HYPERLINK \l _Toc15160 </w:instrText>
          </w:r>
          <w:r>
            <w:fldChar w:fldCharType="separate"/>
          </w:r>
          <w:r>
            <w:rPr>
              <w:rFonts w:hint="default" w:ascii="黑体" w:hAnsi="黑体" w:eastAsia="黑体" w:cs="黑体"/>
              <w:lang w:val="en-US" w:eastAsia="zh-CN"/>
            </w:rPr>
            <w:t xml:space="preserve">4.1 </w:t>
          </w:r>
          <w:r>
            <w:rPr>
              <w:rFonts w:hint="default"/>
              <w:lang w:val="en-US" w:eastAsia="zh-CN"/>
            </w:rPr>
            <w:t>系统调试</w:t>
          </w:r>
          <w:r>
            <w:tab/>
          </w:r>
          <w:r>
            <w:fldChar w:fldCharType="begin"/>
          </w:r>
          <w:r>
            <w:instrText xml:space="preserve"> PAGEREF _Toc15160 \h </w:instrText>
          </w:r>
          <w:r>
            <w:fldChar w:fldCharType="separate"/>
          </w:r>
          <w:r>
            <w:t>31</w:t>
          </w:r>
          <w:r>
            <w:fldChar w:fldCharType="end"/>
          </w:r>
          <w:r>
            <w:fldChar w:fldCharType="end"/>
          </w:r>
        </w:p>
        <w:p w14:paraId="3246E1B4">
          <w:pPr>
            <w:pStyle w:val="12"/>
            <w:tabs>
              <w:tab w:val="right" w:leader="dot" w:pos="8306"/>
            </w:tabs>
          </w:pPr>
          <w:r>
            <w:fldChar w:fldCharType="begin"/>
          </w:r>
          <w:r>
            <w:instrText xml:space="preserve"> HYPERLINK \l _Toc984 </w:instrText>
          </w:r>
          <w:r>
            <w:fldChar w:fldCharType="separate"/>
          </w:r>
          <w:r>
            <w:rPr>
              <w:rFonts w:hint="default" w:ascii="黑体" w:hAnsi="黑体" w:eastAsia="黑体" w:cs="黑体"/>
              <w:lang w:val="en-US" w:eastAsia="zh-CN"/>
            </w:rPr>
            <w:t xml:space="preserve">4.2 </w:t>
          </w:r>
          <w:r>
            <w:rPr>
              <w:rFonts w:hint="default"/>
              <w:lang w:val="en-US" w:eastAsia="zh-CN"/>
            </w:rPr>
            <w:t>测试结果</w:t>
          </w:r>
          <w:r>
            <w:tab/>
          </w:r>
          <w:r>
            <w:fldChar w:fldCharType="begin"/>
          </w:r>
          <w:r>
            <w:instrText xml:space="preserve"> PAGEREF _Toc984 \h </w:instrText>
          </w:r>
          <w:r>
            <w:fldChar w:fldCharType="separate"/>
          </w:r>
          <w:r>
            <w:t>32</w:t>
          </w:r>
          <w:r>
            <w:fldChar w:fldCharType="end"/>
          </w:r>
          <w:r>
            <w:fldChar w:fldCharType="end"/>
          </w:r>
        </w:p>
        <w:p w14:paraId="3B938653">
          <w:pPr>
            <w:pStyle w:val="10"/>
            <w:tabs>
              <w:tab w:val="right" w:leader="dot" w:pos="8306"/>
            </w:tabs>
          </w:pPr>
          <w:r>
            <w:fldChar w:fldCharType="begin"/>
          </w:r>
          <w:r>
            <w:instrText xml:space="preserve"> HYPERLINK \l _Toc21298 </w:instrText>
          </w:r>
          <w:r>
            <w:fldChar w:fldCharType="separate"/>
          </w:r>
          <w:r>
            <w:rPr>
              <w:rFonts w:hint="eastAsia"/>
              <w:lang w:val="en-US" w:eastAsia="zh-CN"/>
            </w:rPr>
            <w:t xml:space="preserve">五、 </w:t>
          </w:r>
          <w:r>
            <w:rPr>
              <w:rFonts w:hint="default"/>
              <w:lang w:val="en-US" w:eastAsia="zh-CN"/>
            </w:rPr>
            <w:t>商业模式</w:t>
          </w:r>
          <w:r>
            <w:tab/>
          </w:r>
          <w:r>
            <w:fldChar w:fldCharType="begin"/>
          </w:r>
          <w:r>
            <w:instrText xml:space="preserve"> PAGEREF _Toc21298 \h </w:instrText>
          </w:r>
          <w:r>
            <w:fldChar w:fldCharType="separate"/>
          </w:r>
          <w:r>
            <w:t>33</w:t>
          </w:r>
          <w:r>
            <w:fldChar w:fldCharType="end"/>
          </w:r>
          <w:r>
            <w:fldChar w:fldCharType="end"/>
          </w:r>
        </w:p>
        <w:p w14:paraId="5339AA26">
          <w:pPr>
            <w:pStyle w:val="12"/>
            <w:tabs>
              <w:tab w:val="right" w:leader="dot" w:pos="8306"/>
            </w:tabs>
          </w:pPr>
          <w:r>
            <w:fldChar w:fldCharType="begin"/>
          </w:r>
          <w:r>
            <w:instrText xml:space="preserve"> HYPERLINK \l _Toc4833 </w:instrText>
          </w:r>
          <w:r>
            <w:fldChar w:fldCharType="separate"/>
          </w:r>
          <w:r>
            <w:rPr>
              <w:rFonts w:hint="default" w:ascii="黑体" w:hAnsi="黑体" w:eastAsia="黑体" w:cs="黑体"/>
              <w:lang w:val="en-US" w:eastAsia="zh-CN"/>
            </w:rPr>
            <w:t xml:space="preserve">5.1 </w:t>
          </w:r>
          <w:r>
            <w:rPr>
              <w:rFonts w:hint="default"/>
              <w:lang w:val="en-US" w:eastAsia="zh-CN"/>
            </w:rPr>
            <w:t>核心商业模式：“</w:t>
          </w:r>
          <w:r>
            <w:rPr>
              <w:rFonts w:hint="eastAsia"/>
              <w:lang w:val="en-US" w:eastAsia="zh-CN"/>
            </w:rPr>
            <w:t>硬件</w:t>
          </w:r>
          <w:r>
            <w:rPr>
              <w:rFonts w:hint="default"/>
              <w:lang w:val="en-US" w:eastAsia="zh-CN"/>
            </w:rPr>
            <w:t xml:space="preserve"> + </w:t>
          </w:r>
          <w:r>
            <w:rPr>
              <w:rFonts w:hint="eastAsia"/>
              <w:lang w:val="en-US" w:eastAsia="zh-CN"/>
            </w:rPr>
            <w:t>软件</w:t>
          </w:r>
          <w:r>
            <w:rPr>
              <w:rFonts w:hint="default"/>
              <w:lang w:val="en-US" w:eastAsia="zh-CN"/>
            </w:rPr>
            <w:t xml:space="preserve"> + </w:t>
          </w:r>
          <w:r>
            <w:rPr>
              <w:rFonts w:hint="eastAsia"/>
              <w:lang w:val="en-US" w:eastAsia="zh-CN"/>
            </w:rPr>
            <w:t>服务</w:t>
          </w:r>
          <w:r>
            <w:rPr>
              <w:rFonts w:hint="default"/>
              <w:lang w:val="en-US" w:eastAsia="zh-CN"/>
            </w:rPr>
            <w:t>” 三位一体</w:t>
          </w:r>
          <w:r>
            <w:tab/>
          </w:r>
          <w:r>
            <w:fldChar w:fldCharType="begin"/>
          </w:r>
          <w:r>
            <w:instrText xml:space="preserve"> PAGEREF _Toc4833 \h </w:instrText>
          </w:r>
          <w:r>
            <w:fldChar w:fldCharType="separate"/>
          </w:r>
          <w:r>
            <w:t>33</w:t>
          </w:r>
          <w:r>
            <w:fldChar w:fldCharType="end"/>
          </w:r>
          <w:r>
            <w:fldChar w:fldCharType="end"/>
          </w:r>
        </w:p>
        <w:p w14:paraId="3A0747F8">
          <w:pPr>
            <w:pStyle w:val="12"/>
            <w:tabs>
              <w:tab w:val="right" w:leader="dot" w:pos="8306"/>
            </w:tabs>
          </w:pPr>
          <w:r>
            <w:fldChar w:fldCharType="begin"/>
          </w:r>
          <w:r>
            <w:instrText xml:space="preserve"> HYPERLINK \l _Toc3661 </w:instrText>
          </w:r>
          <w:r>
            <w:fldChar w:fldCharType="separate"/>
          </w:r>
          <w:r>
            <w:rPr>
              <w:rFonts w:hint="default" w:ascii="黑体" w:hAnsi="黑体" w:eastAsia="黑体" w:cs="黑体"/>
              <w:lang w:val="en-US" w:eastAsia="zh-CN"/>
            </w:rPr>
            <w:t xml:space="preserve">5.2 </w:t>
          </w:r>
          <w:r>
            <w:rPr>
              <w:rFonts w:hint="default"/>
              <w:lang w:val="en-US" w:eastAsia="zh-CN"/>
            </w:rPr>
            <w:t>市场价值</w:t>
          </w:r>
          <w:r>
            <w:rPr>
              <w:rFonts w:hint="eastAsia"/>
              <w:lang w:val="en-US" w:eastAsia="zh-CN"/>
            </w:rPr>
            <w:t>与</w:t>
          </w:r>
          <w:r>
            <w:rPr>
              <w:rFonts w:hint="default"/>
              <w:lang w:val="en-US" w:eastAsia="zh-CN"/>
            </w:rPr>
            <w:t>未来展望</w:t>
          </w:r>
          <w:r>
            <w:tab/>
          </w:r>
          <w:r>
            <w:fldChar w:fldCharType="begin"/>
          </w:r>
          <w:r>
            <w:instrText xml:space="preserve"> PAGEREF _Toc3661 \h </w:instrText>
          </w:r>
          <w:r>
            <w:fldChar w:fldCharType="separate"/>
          </w:r>
          <w:r>
            <w:t>33</w:t>
          </w:r>
          <w:r>
            <w:fldChar w:fldCharType="end"/>
          </w:r>
          <w:r>
            <w:fldChar w:fldCharType="end"/>
          </w:r>
        </w:p>
        <w:p w14:paraId="2D0AB400">
          <w:pPr>
            <w:pStyle w:val="10"/>
            <w:tabs>
              <w:tab w:val="right" w:leader="dot" w:pos="8306"/>
            </w:tabs>
          </w:pPr>
          <w:r>
            <w:fldChar w:fldCharType="begin"/>
          </w:r>
          <w:r>
            <w:instrText xml:space="preserve"> HYPERLINK \l _Toc24976 </w:instrText>
          </w:r>
          <w:r>
            <w:fldChar w:fldCharType="separate"/>
          </w:r>
          <w:r>
            <w:rPr>
              <w:rFonts w:hint="eastAsia"/>
              <w:lang w:val="en-US" w:eastAsia="zh-CN"/>
            </w:rPr>
            <w:t xml:space="preserve">六、 </w:t>
          </w:r>
          <w:r>
            <w:rPr>
              <w:rFonts w:hint="default"/>
              <w:lang w:val="en-US" w:eastAsia="zh-CN"/>
            </w:rPr>
            <w:t>公司发展战略</w:t>
          </w:r>
          <w:r>
            <w:tab/>
          </w:r>
          <w:r>
            <w:fldChar w:fldCharType="begin"/>
          </w:r>
          <w:r>
            <w:instrText xml:space="preserve"> PAGEREF _Toc24976 \h </w:instrText>
          </w:r>
          <w:r>
            <w:fldChar w:fldCharType="separate"/>
          </w:r>
          <w:r>
            <w:t>35</w:t>
          </w:r>
          <w:r>
            <w:fldChar w:fldCharType="end"/>
          </w:r>
          <w:r>
            <w:fldChar w:fldCharType="end"/>
          </w:r>
        </w:p>
        <w:p w14:paraId="17367A2D">
          <w:pPr>
            <w:pStyle w:val="12"/>
            <w:tabs>
              <w:tab w:val="right" w:leader="dot" w:pos="8306"/>
            </w:tabs>
          </w:pPr>
          <w:r>
            <w:fldChar w:fldCharType="begin"/>
          </w:r>
          <w:r>
            <w:instrText xml:space="preserve"> HYPERLINK \l _Toc30818 </w:instrText>
          </w:r>
          <w:r>
            <w:fldChar w:fldCharType="separate"/>
          </w:r>
          <w:r>
            <w:rPr>
              <w:rFonts w:hint="default" w:ascii="黑体" w:hAnsi="黑体" w:eastAsia="黑体" w:cs="黑体"/>
              <w:lang w:val="en-US" w:eastAsia="zh-CN"/>
            </w:rPr>
            <w:t xml:space="preserve">6.1 </w:t>
          </w:r>
          <w:r>
            <w:rPr>
              <w:rFonts w:hint="default"/>
              <w:lang w:val="en-US" w:eastAsia="zh-CN"/>
            </w:rPr>
            <w:t>战略核心目标</w:t>
          </w:r>
          <w:r>
            <w:tab/>
          </w:r>
          <w:r>
            <w:fldChar w:fldCharType="begin"/>
          </w:r>
          <w:r>
            <w:instrText xml:space="preserve"> PAGEREF _Toc30818 \h </w:instrText>
          </w:r>
          <w:r>
            <w:fldChar w:fldCharType="separate"/>
          </w:r>
          <w:r>
            <w:t>35</w:t>
          </w:r>
          <w:r>
            <w:fldChar w:fldCharType="end"/>
          </w:r>
          <w:r>
            <w:fldChar w:fldCharType="end"/>
          </w:r>
        </w:p>
        <w:p w14:paraId="0473F4B2">
          <w:pPr>
            <w:pStyle w:val="12"/>
            <w:tabs>
              <w:tab w:val="right" w:leader="dot" w:pos="8306"/>
            </w:tabs>
          </w:pPr>
          <w:r>
            <w:fldChar w:fldCharType="begin"/>
          </w:r>
          <w:r>
            <w:instrText xml:space="preserve"> HYPERLINK \l _Toc7815 </w:instrText>
          </w:r>
          <w:r>
            <w:fldChar w:fldCharType="separate"/>
          </w:r>
          <w:r>
            <w:rPr>
              <w:rFonts w:hint="default" w:ascii="黑体" w:hAnsi="黑体" w:eastAsia="黑体" w:cs="黑体"/>
              <w:lang w:val="en-US" w:eastAsia="zh-CN"/>
            </w:rPr>
            <w:t xml:space="preserve">6.2 </w:t>
          </w:r>
          <w:r>
            <w:rPr>
              <w:rFonts w:hint="default"/>
              <w:lang w:val="en-US" w:eastAsia="zh-CN"/>
            </w:rPr>
            <w:t>阶段性发展战略</w:t>
          </w:r>
          <w:r>
            <w:tab/>
          </w:r>
          <w:r>
            <w:fldChar w:fldCharType="begin"/>
          </w:r>
          <w:r>
            <w:instrText xml:space="preserve"> PAGEREF _Toc7815 \h </w:instrText>
          </w:r>
          <w:r>
            <w:fldChar w:fldCharType="separate"/>
          </w:r>
          <w:r>
            <w:t>35</w:t>
          </w:r>
          <w:r>
            <w:fldChar w:fldCharType="end"/>
          </w:r>
          <w:r>
            <w:fldChar w:fldCharType="end"/>
          </w:r>
        </w:p>
        <w:p w14:paraId="701CB7CD">
          <w:pPr>
            <w:pStyle w:val="12"/>
            <w:tabs>
              <w:tab w:val="right" w:leader="dot" w:pos="8306"/>
            </w:tabs>
          </w:pPr>
          <w:r>
            <w:fldChar w:fldCharType="begin"/>
          </w:r>
          <w:r>
            <w:instrText xml:space="preserve"> HYPERLINK \l _Toc22265 </w:instrText>
          </w:r>
          <w:r>
            <w:fldChar w:fldCharType="separate"/>
          </w:r>
          <w:r>
            <w:rPr>
              <w:rFonts w:hint="default" w:ascii="黑体" w:hAnsi="黑体" w:eastAsia="黑体" w:cs="黑体"/>
              <w:lang w:val="en-US" w:eastAsia="zh-CN"/>
            </w:rPr>
            <w:t xml:space="preserve">6.3 </w:t>
          </w:r>
          <w:r>
            <w:rPr>
              <w:rFonts w:hint="default"/>
              <w:lang w:val="en-US" w:eastAsia="zh-CN"/>
            </w:rPr>
            <w:t>核心战略支撑</w:t>
          </w:r>
          <w:r>
            <w:tab/>
          </w:r>
          <w:r>
            <w:fldChar w:fldCharType="begin"/>
          </w:r>
          <w:r>
            <w:instrText xml:space="preserve"> PAGEREF _Toc22265 \h </w:instrText>
          </w:r>
          <w:r>
            <w:fldChar w:fldCharType="separate"/>
          </w:r>
          <w:r>
            <w:t>35</w:t>
          </w:r>
          <w:r>
            <w:fldChar w:fldCharType="end"/>
          </w:r>
          <w:r>
            <w:fldChar w:fldCharType="end"/>
          </w:r>
        </w:p>
        <w:p w14:paraId="02B3559C">
          <w:pPr>
            <w:pStyle w:val="10"/>
            <w:tabs>
              <w:tab w:val="right" w:leader="dot" w:pos="8306"/>
            </w:tabs>
          </w:pPr>
          <w:r>
            <w:fldChar w:fldCharType="begin"/>
          </w:r>
          <w:r>
            <w:instrText xml:space="preserve"> HYPERLINK \l _Toc11509 </w:instrText>
          </w:r>
          <w:r>
            <w:fldChar w:fldCharType="separate"/>
          </w:r>
          <w:r>
            <w:rPr>
              <w:rFonts w:hint="eastAsia"/>
              <w:lang w:val="en-US" w:eastAsia="zh-CN"/>
            </w:rPr>
            <w:t xml:space="preserve">七、 </w:t>
          </w:r>
          <w:r>
            <w:rPr>
              <w:rFonts w:hint="default"/>
              <w:lang w:val="en-US" w:eastAsia="zh-CN"/>
            </w:rPr>
            <w:t>财务分析</w:t>
          </w:r>
          <w:r>
            <w:tab/>
          </w:r>
          <w:r>
            <w:fldChar w:fldCharType="begin"/>
          </w:r>
          <w:r>
            <w:instrText xml:space="preserve"> PAGEREF _Toc11509 \h </w:instrText>
          </w:r>
          <w:r>
            <w:fldChar w:fldCharType="separate"/>
          </w:r>
          <w:r>
            <w:t>36</w:t>
          </w:r>
          <w:r>
            <w:fldChar w:fldCharType="end"/>
          </w:r>
          <w:r>
            <w:fldChar w:fldCharType="end"/>
          </w:r>
        </w:p>
        <w:p w14:paraId="3DC9E9BC">
          <w:pPr>
            <w:pStyle w:val="12"/>
            <w:tabs>
              <w:tab w:val="right" w:leader="dot" w:pos="8306"/>
            </w:tabs>
          </w:pPr>
          <w:r>
            <w:fldChar w:fldCharType="begin"/>
          </w:r>
          <w:r>
            <w:instrText xml:space="preserve"> HYPERLINK \l _Toc27963 </w:instrText>
          </w:r>
          <w:r>
            <w:fldChar w:fldCharType="separate"/>
          </w:r>
          <w:r>
            <w:rPr>
              <w:rFonts w:hint="default" w:ascii="黑体" w:hAnsi="黑体" w:eastAsia="黑体" w:cs="黑体"/>
              <w:lang w:val="en-US" w:eastAsia="zh-CN"/>
            </w:rPr>
            <w:t xml:space="preserve">7.1 </w:t>
          </w:r>
          <w:r>
            <w:rPr>
              <w:rFonts w:hint="default"/>
              <w:lang w:val="en-US" w:eastAsia="zh-CN"/>
            </w:rPr>
            <w:t>财务假设</w:t>
          </w:r>
          <w:r>
            <w:tab/>
          </w:r>
          <w:r>
            <w:fldChar w:fldCharType="begin"/>
          </w:r>
          <w:r>
            <w:instrText xml:space="preserve"> PAGEREF _Toc27963 \h </w:instrText>
          </w:r>
          <w:r>
            <w:fldChar w:fldCharType="separate"/>
          </w:r>
          <w:r>
            <w:t>36</w:t>
          </w:r>
          <w:r>
            <w:fldChar w:fldCharType="end"/>
          </w:r>
          <w:r>
            <w:fldChar w:fldCharType="end"/>
          </w:r>
        </w:p>
        <w:p w14:paraId="0074A9ED">
          <w:pPr>
            <w:pStyle w:val="12"/>
            <w:tabs>
              <w:tab w:val="right" w:leader="dot" w:pos="8306"/>
            </w:tabs>
          </w:pPr>
          <w:r>
            <w:fldChar w:fldCharType="begin"/>
          </w:r>
          <w:r>
            <w:instrText xml:space="preserve"> HYPERLINK \l _Toc25901 </w:instrText>
          </w:r>
          <w:r>
            <w:fldChar w:fldCharType="separate"/>
          </w:r>
          <w:r>
            <w:rPr>
              <w:rFonts w:hint="default" w:ascii="黑体" w:hAnsi="黑体" w:eastAsia="黑体" w:cs="黑体"/>
              <w:lang w:val="en-US" w:eastAsia="zh-CN"/>
            </w:rPr>
            <w:t xml:space="preserve">7.2 </w:t>
          </w:r>
          <w:r>
            <w:rPr>
              <w:rFonts w:hint="default"/>
              <w:lang w:val="en-US" w:eastAsia="zh-CN"/>
            </w:rPr>
            <w:t>核心财务数据</w:t>
          </w:r>
          <w:r>
            <w:tab/>
          </w:r>
          <w:r>
            <w:fldChar w:fldCharType="begin"/>
          </w:r>
          <w:r>
            <w:instrText xml:space="preserve"> PAGEREF _Toc25901 \h </w:instrText>
          </w:r>
          <w:r>
            <w:fldChar w:fldCharType="separate"/>
          </w:r>
          <w:r>
            <w:t>36</w:t>
          </w:r>
          <w:r>
            <w:fldChar w:fldCharType="end"/>
          </w:r>
          <w:r>
            <w:fldChar w:fldCharType="end"/>
          </w:r>
        </w:p>
        <w:p w14:paraId="26534FE7">
          <w:pPr>
            <w:pStyle w:val="12"/>
            <w:tabs>
              <w:tab w:val="right" w:leader="dot" w:pos="8306"/>
            </w:tabs>
          </w:pPr>
          <w:r>
            <w:fldChar w:fldCharType="begin"/>
          </w:r>
          <w:r>
            <w:instrText xml:space="preserve"> HYPERLINK \l _Toc5305 </w:instrText>
          </w:r>
          <w:r>
            <w:fldChar w:fldCharType="separate"/>
          </w:r>
          <w:r>
            <w:rPr>
              <w:rFonts w:hint="default" w:ascii="黑体" w:hAnsi="黑体" w:eastAsia="黑体" w:cs="黑体"/>
              <w:lang w:val="en-US" w:eastAsia="zh-CN"/>
            </w:rPr>
            <w:t xml:space="preserve">7.3 </w:t>
          </w:r>
          <w:r>
            <w:rPr>
              <w:rFonts w:hint="default"/>
              <w:lang w:val="en-US" w:eastAsia="zh-CN"/>
            </w:rPr>
            <w:t>盈利能力与风险应对</w:t>
          </w:r>
          <w:r>
            <w:tab/>
          </w:r>
          <w:r>
            <w:fldChar w:fldCharType="begin"/>
          </w:r>
          <w:r>
            <w:instrText xml:space="preserve"> PAGEREF _Toc5305 \h </w:instrText>
          </w:r>
          <w:r>
            <w:fldChar w:fldCharType="separate"/>
          </w:r>
          <w:r>
            <w:t>37</w:t>
          </w:r>
          <w:r>
            <w:fldChar w:fldCharType="end"/>
          </w:r>
          <w:r>
            <w:fldChar w:fldCharType="end"/>
          </w:r>
        </w:p>
        <w:p w14:paraId="2E01FAB4">
          <w:pPr>
            <w:pStyle w:val="10"/>
            <w:tabs>
              <w:tab w:val="right" w:leader="dot" w:pos="8306"/>
            </w:tabs>
          </w:pPr>
          <w:r>
            <w:fldChar w:fldCharType="begin"/>
          </w:r>
          <w:r>
            <w:instrText xml:space="preserve"> HYPERLINK \l _Toc15072 </w:instrText>
          </w:r>
          <w:r>
            <w:fldChar w:fldCharType="separate"/>
          </w:r>
          <w:r>
            <w:rPr>
              <w:rFonts w:hint="eastAsia"/>
              <w:lang w:val="en-US" w:eastAsia="zh-CN"/>
            </w:rPr>
            <w:t xml:space="preserve">八、 </w:t>
          </w:r>
          <w:r>
            <w:rPr>
              <w:rFonts w:hint="default"/>
              <w:lang w:val="en-US" w:eastAsia="zh-CN"/>
            </w:rPr>
            <w:t>风险防范</w:t>
          </w:r>
          <w:r>
            <w:tab/>
          </w:r>
          <w:r>
            <w:fldChar w:fldCharType="begin"/>
          </w:r>
          <w:r>
            <w:instrText xml:space="preserve"> PAGEREF _Toc15072 \h </w:instrText>
          </w:r>
          <w:r>
            <w:fldChar w:fldCharType="separate"/>
          </w:r>
          <w:r>
            <w:t>37</w:t>
          </w:r>
          <w:r>
            <w:fldChar w:fldCharType="end"/>
          </w:r>
          <w:r>
            <w:fldChar w:fldCharType="end"/>
          </w:r>
        </w:p>
        <w:p w14:paraId="1DE1A9B2">
          <w:pPr>
            <w:pStyle w:val="12"/>
            <w:tabs>
              <w:tab w:val="right" w:leader="dot" w:pos="8306"/>
            </w:tabs>
          </w:pPr>
          <w:r>
            <w:fldChar w:fldCharType="begin"/>
          </w:r>
          <w:r>
            <w:instrText xml:space="preserve"> HYPERLINK \l _Toc31037 </w:instrText>
          </w:r>
          <w:r>
            <w:fldChar w:fldCharType="separate"/>
          </w:r>
          <w:r>
            <w:rPr>
              <w:rFonts w:hint="default" w:ascii="黑体" w:hAnsi="黑体" w:eastAsia="黑体" w:cs="黑体"/>
              <w:lang w:val="en-US" w:eastAsia="zh-CN"/>
            </w:rPr>
            <w:t xml:space="preserve">8.1 </w:t>
          </w:r>
          <w:r>
            <w:rPr>
              <w:rFonts w:hint="default"/>
              <w:lang w:val="en-US" w:eastAsia="zh-CN"/>
            </w:rPr>
            <w:t>技术风险</w:t>
          </w:r>
          <w:r>
            <w:tab/>
          </w:r>
          <w:r>
            <w:fldChar w:fldCharType="begin"/>
          </w:r>
          <w:r>
            <w:instrText xml:space="preserve"> PAGEREF _Toc31037 \h </w:instrText>
          </w:r>
          <w:r>
            <w:fldChar w:fldCharType="separate"/>
          </w:r>
          <w:r>
            <w:t>37</w:t>
          </w:r>
          <w:r>
            <w:fldChar w:fldCharType="end"/>
          </w:r>
          <w:r>
            <w:fldChar w:fldCharType="end"/>
          </w:r>
        </w:p>
        <w:p w14:paraId="60A56300">
          <w:pPr>
            <w:pStyle w:val="12"/>
            <w:tabs>
              <w:tab w:val="right" w:leader="dot" w:pos="8306"/>
            </w:tabs>
          </w:pPr>
          <w:r>
            <w:fldChar w:fldCharType="begin"/>
          </w:r>
          <w:r>
            <w:instrText xml:space="preserve"> HYPERLINK \l _Toc32288 </w:instrText>
          </w:r>
          <w:r>
            <w:fldChar w:fldCharType="separate"/>
          </w:r>
          <w:r>
            <w:rPr>
              <w:rFonts w:hint="default" w:ascii="黑体" w:hAnsi="黑体" w:eastAsia="黑体" w:cs="黑体"/>
              <w:lang w:val="en-US" w:eastAsia="zh-CN"/>
            </w:rPr>
            <w:t xml:space="preserve">8.2 </w:t>
          </w:r>
          <w:r>
            <w:rPr>
              <w:rFonts w:hint="default"/>
              <w:lang w:val="en-US" w:eastAsia="zh-CN"/>
            </w:rPr>
            <w:t>市场风险</w:t>
          </w:r>
          <w:r>
            <w:tab/>
          </w:r>
          <w:r>
            <w:fldChar w:fldCharType="begin"/>
          </w:r>
          <w:r>
            <w:instrText xml:space="preserve"> PAGEREF _Toc32288 \h </w:instrText>
          </w:r>
          <w:r>
            <w:fldChar w:fldCharType="separate"/>
          </w:r>
          <w:r>
            <w:t>37</w:t>
          </w:r>
          <w:r>
            <w:fldChar w:fldCharType="end"/>
          </w:r>
          <w:r>
            <w:fldChar w:fldCharType="end"/>
          </w:r>
        </w:p>
        <w:p w14:paraId="45DEAF37">
          <w:pPr>
            <w:pStyle w:val="12"/>
            <w:tabs>
              <w:tab w:val="right" w:leader="dot" w:pos="8306"/>
            </w:tabs>
          </w:pPr>
          <w:r>
            <w:fldChar w:fldCharType="begin"/>
          </w:r>
          <w:r>
            <w:instrText xml:space="preserve"> HYPERLINK \l _Toc30775 </w:instrText>
          </w:r>
          <w:r>
            <w:fldChar w:fldCharType="separate"/>
          </w:r>
          <w:r>
            <w:rPr>
              <w:rFonts w:hint="default" w:ascii="黑体" w:hAnsi="黑体" w:eastAsia="黑体" w:cs="黑体"/>
              <w:lang w:val="en-US" w:eastAsia="zh-CN"/>
            </w:rPr>
            <w:t xml:space="preserve">8.3 </w:t>
          </w:r>
          <w:r>
            <w:rPr>
              <w:rFonts w:hint="default"/>
              <w:lang w:val="en-US" w:eastAsia="zh-CN"/>
            </w:rPr>
            <w:t>供应链风险</w:t>
          </w:r>
          <w:r>
            <w:tab/>
          </w:r>
          <w:r>
            <w:fldChar w:fldCharType="begin"/>
          </w:r>
          <w:r>
            <w:instrText xml:space="preserve"> PAGEREF _Toc30775 \h </w:instrText>
          </w:r>
          <w:r>
            <w:fldChar w:fldCharType="separate"/>
          </w:r>
          <w:r>
            <w:t>38</w:t>
          </w:r>
          <w:r>
            <w:fldChar w:fldCharType="end"/>
          </w:r>
          <w:r>
            <w:fldChar w:fldCharType="end"/>
          </w:r>
        </w:p>
        <w:p w14:paraId="0929176C">
          <w:pPr>
            <w:pStyle w:val="12"/>
            <w:tabs>
              <w:tab w:val="right" w:leader="dot" w:pos="8306"/>
            </w:tabs>
          </w:pPr>
          <w:r>
            <w:fldChar w:fldCharType="begin"/>
          </w:r>
          <w:r>
            <w:instrText xml:space="preserve"> HYPERLINK \l _Toc21921 </w:instrText>
          </w:r>
          <w:r>
            <w:fldChar w:fldCharType="separate"/>
          </w:r>
          <w:r>
            <w:rPr>
              <w:rFonts w:hint="default" w:ascii="黑体" w:hAnsi="黑体" w:eastAsia="黑体" w:cs="黑体"/>
              <w:lang w:val="en-US" w:eastAsia="zh-CN"/>
            </w:rPr>
            <w:t xml:space="preserve">8.4 </w:t>
          </w:r>
          <w:r>
            <w:rPr>
              <w:rFonts w:hint="default"/>
              <w:lang w:val="en-US" w:eastAsia="zh-CN"/>
            </w:rPr>
            <w:t>运营风险</w:t>
          </w:r>
          <w:r>
            <w:tab/>
          </w:r>
          <w:r>
            <w:fldChar w:fldCharType="begin"/>
          </w:r>
          <w:r>
            <w:instrText xml:space="preserve"> PAGEREF _Toc21921 \h </w:instrText>
          </w:r>
          <w:r>
            <w:fldChar w:fldCharType="separate"/>
          </w:r>
          <w:r>
            <w:t>38</w:t>
          </w:r>
          <w:r>
            <w:fldChar w:fldCharType="end"/>
          </w:r>
          <w:r>
            <w:fldChar w:fldCharType="end"/>
          </w:r>
        </w:p>
        <w:p w14:paraId="1A748B86">
          <w:pPr>
            <w:pStyle w:val="12"/>
            <w:tabs>
              <w:tab w:val="right" w:leader="dot" w:pos="8306"/>
            </w:tabs>
          </w:pPr>
          <w:r>
            <w:fldChar w:fldCharType="begin"/>
          </w:r>
          <w:r>
            <w:instrText xml:space="preserve"> HYPERLINK \l _Toc26761 </w:instrText>
          </w:r>
          <w:r>
            <w:fldChar w:fldCharType="separate"/>
          </w:r>
          <w:r>
            <w:rPr>
              <w:rFonts w:hint="default" w:ascii="黑体" w:hAnsi="黑体" w:eastAsia="黑体" w:cs="黑体"/>
              <w:lang w:val="en-US" w:eastAsia="zh-CN"/>
            </w:rPr>
            <w:t xml:space="preserve">8.5 </w:t>
          </w:r>
          <w:r>
            <w:rPr>
              <w:rFonts w:hint="default"/>
              <w:lang w:val="en-US" w:eastAsia="zh-CN"/>
            </w:rPr>
            <w:t>政策与合规风险</w:t>
          </w:r>
          <w:r>
            <w:tab/>
          </w:r>
          <w:r>
            <w:fldChar w:fldCharType="begin"/>
          </w:r>
          <w:r>
            <w:instrText xml:space="preserve"> PAGEREF _Toc26761 \h </w:instrText>
          </w:r>
          <w:r>
            <w:fldChar w:fldCharType="separate"/>
          </w:r>
          <w:r>
            <w:t>38</w:t>
          </w:r>
          <w:r>
            <w:fldChar w:fldCharType="end"/>
          </w:r>
          <w:r>
            <w:fldChar w:fldCharType="end"/>
          </w:r>
        </w:p>
        <w:p w14:paraId="0D43AF2F">
          <w:pPr>
            <w:pStyle w:val="10"/>
            <w:tabs>
              <w:tab w:val="right" w:leader="dot" w:pos="8306"/>
            </w:tabs>
          </w:pPr>
          <w:r>
            <w:fldChar w:fldCharType="begin"/>
          </w:r>
          <w:r>
            <w:instrText xml:space="preserve"> HYPERLINK \l _Toc17356 </w:instrText>
          </w:r>
          <w:r>
            <w:fldChar w:fldCharType="separate"/>
          </w:r>
          <w:r>
            <w:rPr>
              <w:rFonts w:hint="eastAsia"/>
              <w:lang w:val="en-US" w:eastAsia="zh-CN"/>
            </w:rPr>
            <w:t xml:space="preserve">九、 </w:t>
          </w:r>
          <w:r>
            <w:rPr>
              <w:rFonts w:hint="default"/>
              <w:lang w:val="en-US" w:eastAsia="zh-CN"/>
            </w:rPr>
            <w:t>资本退出</w:t>
          </w:r>
          <w:r>
            <w:tab/>
          </w:r>
          <w:r>
            <w:fldChar w:fldCharType="begin"/>
          </w:r>
          <w:r>
            <w:instrText xml:space="preserve"> PAGEREF _Toc17356 \h </w:instrText>
          </w:r>
          <w:r>
            <w:fldChar w:fldCharType="separate"/>
          </w:r>
          <w:r>
            <w:t>38</w:t>
          </w:r>
          <w:r>
            <w:fldChar w:fldCharType="end"/>
          </w:r>
          <w:r>
            <w:fldChar w:fldCharType="end"/>
          </w:r>
        </w:p>
        <w:p w14:paraId="6A0606E9">
          <w:pPr>
            <w:pStyle w:val="12"/>
            <w:tabs>
              <w:tab w:val="right" w:leader="dot" w:pos="8306"/>
            </w:tabs>
          </w:pPr>
          <w:r>
            <w:fldChar w:fldCharType="begin"/>
          </w:r>
          <w:r>
            <w:instrText xml:space="preserve"> HYPERLINK \l _Toc30144 </w:instrText>
          </w:r>
          <w:r>
            <w:fldChar w:fldCharType="separate"/>
          </w:r>
          <w:r>
            <w:rPr>
              <w:rFonts w:hint="default" w:ascii="黑体" w:hAnsi="黑体" w:eastAsia="黑体" w:cs="黑体"/>
              <w:lang w:val="en-US" w:eastAsia="zh-CN"/>
            </w:rPr>
            <w:t xml:space="preserve">9.1 </w:t>
          </w:r>
          <w:r>
            <w:rPr>
              <w:rFonts w:hint="default"/>
              <w:lang w:val="en-US" w:eastAsia="zh-CN"/>
            </w:rPr>
            <w:t>退出原则</w:t>
          </w:r>
          <w:r>
            <w:tab/>
          </w:r>
          <w:r>
            <w:fldChar w:fldCharType="begin"/>
          </w:r>
          <w:r>
            <w:instrText xml:space="preserve"> PAGEREF _Toc30144 \h </w:instrText>
          </w:r>
          <w:r>
            <w:fldChar w:fldCharType="separate"/>
          </w:r>
          <w:r>
            <w:t>38</w:t>
          </w:r>
          <w:r>
            <w:fldChar w:fldCharType="end"/>
          </w:r>
          <w:r>
            <w:fldChar w:fldCharType="end"/>
          </w:r>
        </w:p>
        <w:p w14:paraId="34928B8E">
          <w:pPr>
            <w:pStyle w:val="12"/>
            <w:tabs>
              <w:tab w:val="right" w:leader="dot" w:pos="8306"/>
            </w:tabs>
          </w:pPr>
          <w:r>
            <w:fldChar w:fldCharType="begin"/>
          </w:r>
          <w:r>
            <w:instrText xml:space="preserve"> HYPERLINK \l _Toc21920 </w:instrText>
          </w:r>
          <w:r>
            <w:fldChar w:fldCharType="separate"/>
          </w:r>
          <w:r>
            <w:rPr>
              <w:rFonts w:hint="default" w:ascii="黑体" w:hAnsi="黑体" w:eastAsia="黑体" w:cs="黑体"/>
              <w:lang w:val="en-US" w:eastAsia="zh-CN"/>
            </w:rPr>
            <w:t xml:space="preserve">9.2 </w:t>
          </w:r>
          <w:r>
            <w:rPr>
              <w:rFonts w:hint="default"/>
              <w:lang w:val="en-US" w:eastAsia="zh-CN"/>
            </w:rPr>
            <w:t>退出方式</w:t>
          </w:r>
          <w:r>
            <w:tab/>
          </w:r>
          <w:r>
            <w:fldChar w:fldCharType="begin"/>
          </w:r>
          <w:r>
            <w:instrText xml:space="preserve"> PAGEREF _Toc21920 \h </w:instrText>
          </w:r>
          <w:r>
            <w:fldChar w:fldCharType="separate"/>
          </w:r>
          <w:r>
            <w:t>39</w:t>
          </w:r>
          <w:r>
            <w:fldChar w:fldCharType="end"/>
          </w:r>
          <w:r>
            <w:fldChar w:fldCharType="end"/>
          </w:r>
        </w:p>
        <w:p w14:paraId="78103736">
          <w:pPr>
            <w:pStyle w:val="12"/>
            <w:tabs>
              <w:tab w:val="right" w:leader="dot" w:pos="8306"/>
            </w:tabs>
          </w:pPr>
          <w:r>
            <w:fldChar w:fldCharType="begin"/>
          </w:r>
          <w:r>
            <w:instrText xml:space="preserve"> HYPERLINK \l _Toc20982 </w:instrText>
          </w:r>
          <w:r>
            <w:fldChar w:fldCharType="separate"/>
          </w:r>
          <w:r>
            <w:rPr>
              <w:rFonts w:hint="default" w:ascii="黑体" w:hAnsi="黑体" w:eastAsia="黑体" w:cs="黑体"/>
              <w:lang w:val="en-US" w:eastAsia="zh-CN"/>
            </w:rPr>
            <w:t xml:space="preserve">9.3 </w:t>
          </w:r>
          <w:r>
            <w:rPr>
              <w:rFonts w:hint="default"/>
              <w:lang w:val="en-US" w:eastAsia="zh-CN"/>
            </w:rPr>
            <w:t>退出保障</w:t>
          </w:r>
          <w:r>
            <w:tab/>
          </w:r>
          <w:r>
            <w:fldChar w:fldCharType="begin"/>
          </w:r>
          <w:r>
            <w:instrText xml:space="preserve"> PAGEREF _Toc20982 \h </w:instrText>
          </w:r>
          <w:r>
            <w:fldChar w:fldCharType="separate"/>
          </w:r>
          <w:r>
            <w:t>39</w:t>
          </w:r>
          <w:r>
            <w:fldChar w:fldCharType="end"/>
          </w:r>
          <w:r>
            <w:fldChar w:fldCharType="end"/>
          </w:r>
        </w:p>
        <w:p w14:paraId="6A75D628">
          <w:pPr>
            <w:spacing w:before="0" w:beforeLines="0" w:after="0" w:afterLines="0" w:line="240" w:lineRule="auto"/>
            <w:ind w:left="0" w:leftChars="0" w:right="0" w:rightChars="0" w:firstLine="0" w:firstLineChars="0"/>
            <w:jc w:val="center"/>
            <w:sectPr>
              <w:footerReference r:id="rId6" w:type="default"/>
              <w:pgSz w:w="11906" w:h="16838"/>
              <w:pgMar w:top="1440" w:right="1800" w:bottom="1440" w:left="1800" w:header="851" w:footer="992" w:gutter="0"/>
              <w:pgNumType w:fmt="decimal" w:start="1"/>
              <w:cols w:space="425" w:num="1"/>
              <w:docGrid w:type="lines" w:linePitch="312" w:charSpace="0"/>
            </w:sectPr>
          </w:pPr>
          <w:r>
            <w:fldChar w:fldCharType="end"/>
          </w:r>
        </w:p>
      </w:sdtContent>
    </w:sdt>
    <w:p w14:paraId="012BA9D4">
      <w:pPr>
        <w:pStyle w:val="2"/>
        <w:bidi w:val="0"/>
        <w:rPr>
          <w:rFonts w:hint="default"/>
        </w:rPr>
      </w:pPr>
      <w:bookmarkStart w:id="3" w:name="_Toc23531"/>
      <w:r>
        <w:rPr>
          <w:rFonts w:hint="default"/>
        </w:rPr>
        <w:t>项目背景</w:t>
      </w:r>
      <w:bookmarkEnd w:id="2"/>
      <w:bookmarkEnd w:id="3"/>
    </w:p>
    <w:p w14:paraId="2786A640">
      <w:pPr>
        <w:pStyle w:val="3"/>
        <w:numPr>
          <w:ilvl w:val="0"/>
          <w:numId w:val="4"/>
        </w:numPr>
        <w:bidi w:val="0"/>
        <w:ind w:left="0" w:leftChars="0" w:firstLine="0" w:firstLineChars="0"/>
        <w:rPr>
          <w:rFonts w:hint="default"/>
          <w:lang w:val="en-US" w:eastAsia="zh-CN"/>
        </w:rPr>
      </w:pPr>
      <w:bookmarkStart w:id="4" w:name="_Toc22068"/>
      <w:bookmarkStart w:id="5" w:name="_Toc18638"/>
      <w:r>
        <w:rPr>
          <w:rFonts w:hint="default"/>
          <w:lang w:val="en-US" w:eastAsia="zh-CN"/>
        </w:rPr>
        <w:t>社会需求与行业痛点</w:t>
      </w:r>
      <w:bookmarkEnd w:id="4"/>
      <w:bookmarkEnd w:id="5"/>
    </w:p>
    <w:p w14:paraId="613FF65E">
      <w:pPr>
        <w:pStyle w:val="4"/>
        <w:numPr>
          <w:ilvl w:val="0"/>
          <w:numId w:val="5"/>
        </w:numPr>
        <w:bidi w:val="0"/>
        <w:ind w:left="0" w:leftChars="0" w:firstLine="0" w:firstLineChars="0"/>
        <w:rPr>
          <w:rFonts w:hint="eastAsia"/>
          <w:lang w:val="en-US" w:eastAsia="zh-CN"/>
        </w:rPr>
      </w:pPr>
      <w:r>
        <w:rPr>
          <w:rFonts w:hint="eastAsia"/>
          <w:lang w:val="en-US" w:eastAsia="zh-CN"/>
        </w:rPr>
        <w:t>核心需求缺口</w:t>
      </w:r>
    </w:p>
    <w:p w14:paraId="6535F1FC">
      <w:pPr>
        <w:keepNext w:val="0"/>
        <w:keepLines w:val="0"/>
        <w:widowControl/>
        <w:suppressLineNumbers w:val="0"/>
        <w:jc w:val="left"/>
      </w:pPr>
      <w:r>
        <w:rPr>
          <w:rFonts w:ascii="宋体" w:hAnsi="宋体" w:eastAsia="宋体" w:cs="宋体"/>
          <w:kern w:val="0"/>
          <w:sz w:val="24"/>
          <w:szCs w:val="24"/>
          <w:lang w:val="en-US" w:eastAsia="zh-CN" w:bidi="ar"/>
        </w:rPr>
        <w:t>传统分拣搬运工作高度依赖人工操作，或采用自动化程度较低的半自动化设备，经行业调研数据显示，该环节人力成本占仓储总成本的比例超30%，且人工操作效率低下，日均人均分拣量不足800件，远低于现代化仓储的效率需求，严重制约仓储环节的整体运转速率。延伸至物流配送环节，货物SKU种类繁多、包装形态参差不齐，既有小型规整包裹，也有异形、易碎包装，现有分拣设备因缺乏精准的识别技术支撑，识别精度普遍较低，难以适配这种多样化的分拣需求，无法实现柔性分拣，进而影响物流配送的整体流畅性。尤其在电商仓储场景中，订单碎片化特征愈发明显，消费者零散下单导致订单批量小、种类杂，而在电商大促等峰值时段，分拣压力会急剧增加，现有设备的响应速度较慢，动态适配能力也存在明显短板，无法快速应对峰值期的分拣需求。</w:t>
      </w:r>
    </w:p>
    <w:p w14:paraId="2C910357">
      <w:pPr>
        <w:keepNext w:val="0"/>
        <w:keepLines w:val="0"/>
        <w:widowControl/>
        <w:suppressLineNumbers w:val="0"/>
        <w:jc w:val="left"/>
      </w:pPr>
      <w:r>
        <w:rPr>
          <w:rFonts w:ascii="宋体" w:hAnsi="宋体" w:eastAsia="宋体" w:cs="宋体"/>
          <w:kern w:val="0"/>
          <w:sz w:val="24"/>
          <w:szCs w:val="24"/>
          <w:lang w:val="en-US" w:eastAsia="zh-CN" w:bidi="ar"/>
        </w:rPr>
        <w:t>这种设备适配与响应的不足，往往会导致货物分拣延误、配送周期拉长，甚至出现分拣失误等问题，不仅增加了物流运营成本，更直接降低了客户的购物体验，不利于电商与物流行业的协同高质量发展。</w:t>
      </w:r>
    </w:p>
    <w:p w14:paraId="6AFCAB6E">
      <w:pPr>
        <w:pStyle w:val="4"/>
        <w:numPr>
          <w:ilvl w:val="0"/>
          <w:numId w:val="5"/>
        </w:numPr>
        <w:bidi w:val="0"/>
        <w:ind w:left="0" w:leftChars="0" w:firstLine="0" w:firstLineChars="0"/>
        <w:rPr>
          <w:rFonts w:hint="default"/>
          <w:lang w:val="en-US" w:eastAsia="zh-CN"/>
        </w:rPr>
      </w:pPr>
      <w:r>
        <w:rPr>
          <w:rFonts w:hint="default"/>
          <w:lang w:val="en-US" w:eastAsia="zh-CN"/>
        </w:rPr>
        <w:t>行业现存痛点</w:t>
      </w:r>
    </w:p>
    <w:p w14:paraId="1C9D195B">
      <w:pPr>
        <w:keepNext w:val="0"/>
        <w:keepLines w:val="0"/>
        <w:widowControl/>
        <w:suppressLineNumbers w:val="0"/>
        <w:jc w:val="left"/>
      </w:pPr>
      <w:r>
        <w:rPr>
          <w:rFonts w:ascii="宋体" w:hAnsi="宋体" w:eastAsia="宋体" w:cs="宋体"/>
          <w:kern w:val="0"/>
          <w:sz w:val="24"/>
          <w:szCs w:val="24"/>
          <w:lang w:val="en-US" w:eastAsia="zh-CN" w:bidi="ar"/>
        </w:rPr>
        <w:t>多数设备仅能实现固定路径搬运，或针对单一类型、固定尺寸的货物进行分拣，缺乏灵活适配能力，场景适配性极差，面对仓储环境中狭窄通道、异形货物堆放、多场景切换等复杂情况时，往往无法正常运转，难以满足现代化复杂仓储的作业需求。核心症结在于技术融合程度不足，其中视觉识别系统与导航系统严重脱节，未形成协同工作机制，这直接导致设备定位偏差普遍大于15cm，面对动态障碍物时避障响应延迟超1秒，极易引发设备碰撞、货物损毁等安全隐患，进一步制约作业效率。更为突出的是设备绿色属性缺失，目前工业领域普及的传统设备多为高能耗机型，单台日均耗电量可达50度以上，碳排放密集，与当前工业绿色转型、低碳发展的政策导向和行业需求严重不符，无法适配绿色仓储的发展趋势。</w:t>
      </w:r>
    </w:p>
    <w:p w14:paraId="17BEEB8A">
      <w:pPr>
        <w:keepNext w:val="0"/>
        <w:keepLines w:val="0"/>
        <w:widowControl/>
        <w:suppressLineNumbers w:val="0"/>
        <w:jc w:val="left"/>
      </w:pPr>
      <w:r>
        <w:rPr>
          <w:rFonts w:ascii="宋体" w:hAnsi="宋体" w:eastAsia="宋体" w:cs="宋体"/>
          <w:kern w:val="0"/>
          <w:sz w:val="24"/>
          <w:szCs w:val="24"/>
          <w:lang w:val="en-US" w:eastAsia="zh-CN" w:bidi="ar"/>
        </w:rPr>
        <w:t>此外，传统设备操作门槛居高不下，无论是前期的现场调试，还是后期的日常维护、故障检修，都需要专业技术人员全程操作，而这类专业人才的薪资成本与技术服务费较高，使得资金实力有限的中小微企业难以负担，进一步限制了中小微企业仓储自动化的转型进程。</w:t>
      </w:r>
    </w:p>
    <w:p w14:paraId="6FC4B373">
      <w:pPr>
        <w:pStyle w:val="3"/>
        <w:numPr>
          <w:ilvl w:val="0"/>
          <w:numId w:val="4"/>
        </w:numPr>
        <w:bidi w:val="0"/>
        <w:ind w:left="0" w:leftChars="0" w:firstLine="0" w:firstLineChars="0"/>
        <w:rPr>
          <w:rFonts w:hint="default"/>
          <w:lang w:val="en-US" w:eastAsia="zh-CN"/>
        </w:rPr>
      </w:pPr>
      <w:bookmarkStart w:id="6" w:name="_Toc1535"/>
      <w:bookmarkStart w:id="7" w:name="_Toc21140"/>
      <w:r>
        <w:rPr>
          <w:rFonts w:hint="default"/>
          <w:lang w:val="en-US" w:eastAsia="zh-CN"/>
        </w:rPr>
        <w:t>政策与行业趋势</w:t>
      </w:r>
      <w:bookmarkEnd w:id="6"/>
      <w:bookmarkEnd w:id="7"/>
    </w:p>
    <w:p w14:paraId="2D18C150">
      <w:pPr>
        <w:pStyle w:val="4"/>
        <w:numPr>
          <w:ilvl w:val="0"/>
          <w:numId w:val="6"/>
        </w:numPr>
        <w:bidi w:val="0"/>
        <w:ind w:left="0" w:leftChars="0" w:firstLine="0" w:firstLineChars="0"/>
        <w:rPr>
          <w:rFonts w:hint="eastAsia"/>
          <w:lang w:val="en-US" w:eastAsia="zh-CN"/>
        </w:rPr>
      </w:pPr>
      <w:r>
        <w:rPr>
          <w:rFonts w:hint="eastAsia"/>
          <w:lang w:val="en-US" w:eastAsia="zh-CN"/>
        </w:rPr>
        <w:t>政策支持导向</w:t>
      </w:r>
    </w:p>
    <w:p w14:paraId="6238C34A">
      <w:pPr>
        <w:keepNext w:val="0"/>
        <w:keepLines w:val="0"/>
        <w:widowControl/>
        <w:suppressLineNumbers w:val="0"/>
        <w:jc w:val="left"/>
      </w:pPr>
      <w:r>
        <w:rPr>
          <w:rFonts w:ascii="宋体" w:hAnsi="宋体" w:eastAsia="宋体" w:cs="宋体"/>
          <w:kern w:val="0"/>
          <w:sz w:val="24"/>
          <w:szCs w:val="24"/>
          <w:lang w:val="en-US" w:eastAsia="zh-CN" w:bidi="ar"/>
        </w:rPr>
        <w:t>国家层面政策明确。为破解传统仓储设备弊端、推动工业自动化与绿色化转型，《“十四五”智能制造发展规划》中明确提出，要大力推广智能分拣、自主搬运等核心仓储装备，重点支持工业机器人的智能化升级，为智能仓储装备的研发与应用划定核心方向。与之配套，《“十四五”工业绿色发展规划》进一步强化导向，明确强调要推动各类工业装备的低碳化改造，重点扶持具备低能耗、可回收特征的绿色智能装备，这两项核心规划相互衔接，为绿色智能仓储装备的市场化推广提供了坚实的国家政策背书。</w:t>
      </w:r>
    </w:p>
    <w:p w14:paraId="6D3268DA">
      <w:pPr>
        <w:keepNext w:val="0"/>
        <w:keepLines w:val="0"/>
        <w:widowControl/>
        <w:suppressLineNumbers w:val="0"/>
        <w:jc w:val="left"/>
      </w:pPr>
      <w:r>
        <w:rPr>
          <w:rFonts w:ascii="宋体" w:hAnsi="宋体" w:eastAsia="宋体" w:cs="宋体"/>
          <w:kern w:val="0"/>
          <w:sz w:val="24"/>
          <w:szCs w:val="24"/>
          <w:lang w:val="en-US" w:eastAsia="zh-CN" w:bidi="ar"/>
        </w:rPr>
        <w:t>落实到地方层面，政策支持更具针对性和可操作性，国内多地政府纷纷出台配套激励政策，对企业采购智能仓储相关设备给予10%-20%的财政补贴，其中江苏、广东、浙江等制造业大省，补贴比例最高可达20%，直接降低企业自动化、绿色化转型的资金压力。这种“国家定方向、地方给支持”的政策体系，既呼应了前文传统设备功能单一、高能耗、中小企业难以负担的核心弊端，也为本文研究的AI视觉引导+SLAM导航智能机器人，提供了明确的政策导向和现实推广支撑，助力其在工业仓储、智能物流等场景落地应用。</w:t>
      </w:r>
    </w:p>
    <w:p w14:paraId="30C5F6C3">
      <w:pPr>
        <w:pStyle w:val="4"/>
        <w:numPr>
          <w:ilvl w:val="0"/>
          <w:numId w:val="6"/>
        </w:numPr>
        <w:bidi w:val="0"/>
        <w:ind w:left="0" w:leftChars="0" w:firstLine="0" w:firstLineChars="0"/>
        <w:rPr>
          <w:rFonts w:hint="default"/>
          <w:lang w:val="en-US" w:eastAsia="zh-CN"/>
        </w:rPr>
      </w:pPr>
      <w:r>
        <w:rPr>
          <w:rFonts w:hint="default"/>
          <w:lang w:val="en-US" w:eastAsia="zh-CN"/>
        </w:rPr>
        <w:t>行业发展趋势</w:t>
      </w:r>
    </w:p>
    <w:p w14:paraId="10799C03">
      <w:pPr>
        <w:keepNext w:val="0"/>
        <w:keepLines w:val="0"/>
        <w:widowControl/>
        <w:suppressLineNumbers w:val="0"/>
        <w:jc w:val="left"/>
      </w:pPr>
      <w:r>
        <w:rPr>
          <w:rFonts w:ascii="宋体" w:hAnsi="宋体" w:eastAsia="宋体" w:cs="宋体"/>
          <w:kern w:val="0"/>
          <w:sz w:val="24"/>
          <w:szCs w:val="24"/>
          <w:lang w:val="en-US" w:eastAsia="zh-CN" w:bidi="ar"/>
        </w:rPr>
        <w:t>受工业自动化转型、电商物流扩张及政策扶持等多重因素驱动，当前智能仓储机器人市场年增长率稳定超过30%，结合高工机器人产业研究所（GGII）相关数据预测，2026年国内该市场规模将突破800亿元，其中AI视觉与SLAM导航融合类产品因适配复杂场景的优势，增速显著领先于传统单一导航类产品，成为拉动市场增长的核心动力。随着工业自动化进程不断深化，传统刚性自动化设备已难以适配多样化生产场景，行业向柔性化、智能化转型成为必然趋势，这使得全自主操作、多场景灵活适配，成为工业企业采购智能仓储机器人的核心需求，例如京东、菜鸟等头部电商布局的全自动分拣中心，均优先选用具备该特征的设备提升订单履约效率。在全球“双碳”目标及工业绿色转型政策推动下，绿色低碳已成为工业装备的核心竞争力，传统高能耗仓储设备逐渐被市场淘汰，低功耗、核心部件可回收、节能算法优化，成为智能仓储机器人产品创新的关键方向，经实测，采用节能算法的融合类机器人，较传统产品能耗可降低30%以上，契合绿色仓储发展需求。</w:t>
      </w:r>
    </w:p>
    <w:p w14:paraId="2E8B09FC">
      <w:pPr>
        <w:keepNext w:val="0"/>
        <w:keepLines w:val="0"/>
        <w:widowControl/>
        <w:suppressLineNumbers w:val="0"/>
        <w:jc w:val="left"/>
      </w:pPr>
      <w:r>
        <w:rPr>
          <w:rFonts w:ascii="宋体" w:hAnsi="宋体" w:eastAsia="宋体" w:cs="宋体"/>
          <w:kern w:val="0"/>
          <w:sz w:val="24"/>
          <w:szCs w:val="24"/>
          <w:lang w:val="en-US" w:eastAsia="zh-CN" w:bidi="ar"/>
        </w:rPr>
        <w:t>这种市场增长、需求升级与创新导向的协同发展，既呼应了前文国家及地方层面的政策导向，也精准破解了传统仓储设备的核心弊端，进一步印证了本文研究的AI视觉引导+SLAM导航智能机器人，具备明确的市场需求与广阔的应用前景，为其后续技术优化与场景落地提供了坚实的市场支撑。</w:t>
      </w:r>
    </w:p>
    <w:p w14:paraId="1E66A0F8">
      <w:pPr>
        <w:pStyle w:val="3"/>
        <w:numPr>
          <w:ilvl w:val="0"/>
          <w:numId w:val="4"/>
        </w:numPr>
        <w:bidi w:val="0"/>
        <w:ind w:left="0" w:leftChars="0" w:firstLine="0" w:firstLineChars="0"/>
        <w:rPr>
          <w:rFonts w:hint="default"/>
          <w:lang w:val="en-US" w:eastAsia="zh-CN"/>
        </w:rPr>
      </w:pPr>
      <w:bookmarkStart w:id="8" w:name="_Toc3696"/>
      <w:bookmarkStart w:id="9" w:name="_Toc4301"/>
      <w:r>
        <w:rPr>
          <w:rFonts w:hint="default"/>
          <w:lang w:val="en-US" w:eastAsia="zh-CN"/>
        </w:rPr>
        <w:t>项目核心使命与生态文明价值</w:t>
      </w:r>
      <w:bookmarkEnd w:id="8"/>
      <w:bookmarkEnd w:id="9"/>
    </w:p>
    <w:p w14:paraId="0905D3FB">
      <w:pPr>
        <w:pStyle w:val="4"/>
        <w:numPr>
          <w:ilvl w:val="0"/>
          <w:numId w:val="7"/>
        </w:numPr>
        <w:bidi w:val="0"/>
        <w:ind w:left="0" w:leftChars="0" w:firstLine="0" w:firstLineChars="0"/>
        <w:rPr>
          <w:rFonts w:hint="eastAsia"/>
          <w:lang w:val="en-US" w:eastAsia="zh-CN"/>
        </w:rPr>
      </w:pPr>
      <w:r>
        <w:rPr>
          <w:rFonts w:hint="eastAsia"/>
          <w:lang w:val="en-US" w:eastAsia="zh-CN"/>
        </w:rPr>
        <w:t>核心使命</w:t>
      </w:r>
    </w:p>
    <w:p w14:paraId="252908A2">
      <w:pPr>
        <w:keepNext w:val="0"/>
        <w:keepLines w:val="0"/>
        <w:widowControl/>
        <w:suppressLineNumbers w:val="0"/>
        <w:jc w:val="left"/>
      </w:pPr>
      <w:r>
        <w:rPr>
          <w:rFonts w:ascii="宋体" w:hAnsi="宋体" w:eastAsia="宋体" w:cs="宋体"/>
          <w:kern w:val="0"/>
          <w:sz w:val="24"/>
          <w:szCs w:val="24"/>
          <w:lang w:val="en-US" w:eastAsia="zh-CN" w:bidi="ar"/>
        </w:rPr>
        <w:t>结合前文分析的传统仓储分拣搬运效率低、人力成本高、场景适配性差等行业痛点，本文明确以“AI赋能+绿色高效”为双核心研发导向，聚焦工业仓储实际作业需求，研发一款集自主识别、精准导航、智能分拣、高效搬运于一体的创新型智能机器人。</w:t>
      </w:r>
    </w:p>
    <w:p w14:paraId="42E56C6A">
      <w:pPr>
        <w:keepNext w:val="0"/>
        <w:keepLines w:val="0"/>
        <w:widowControl/>
        <w:suppressLineNumbers w:val="0"/>
        <w:jc w:val="left"/>
      </w:pPr>
      <w:r>
        <w:rPr>
          <w:rFonts w:ascii="宋体" w:hAnsi="宋体" w:eastAsia="宋体" w:cs="宋体"/>
          <w:kern w:val="0"/>
          <w:sz w:val="24"/>
          <w:szCs w:val="24"/>
          <w:lang w:val="en-US" w:eastAsia="zh-CN" w:bidi="ar"/>
        </w:rPr>
        <w:t>该机器人依托AI视觉引导与SLAM导航技术融合优势，可针对性破解传统设备日均人均分拣不足800件、人力成本占比超30%、复杂场景无法适配的核心难题，例如在中小型仓储企业实测中，其可将分拣效率提升至人工的2.5倍以上，大幅降低人力投入。通过核心技术的创新突破，助力工业物流领域实现从半自动化、刚性化，向全自动化、柔性化转型，为企业提供全流程无人化分拣搬运解决方案，直接帮助企业降低30%以上的分拣搬运成本，真正实现降本增效的核心需求。同时，研发过程中深度践行工业绿色发展理念，机器人采用低功耗锂电池与节能控制算法，搭配可回收核心部件，单台年减碳超8kg，不仅契合国家“双碳”政策与行业绿色转型导向，更为工业领域碳减排提供了可落地、可推广的实践解决方案。</w:t>
      </w:r>
    </w:p>
    <w:p w14:paraId="5FBE2239">
      <w:pPr>
        <w:keepNext w:val="0"/>
        <w:keepLines w:val="0"/>
        <w:widowControl/>
        <w:suppressLineNumbers w:val="0"/>
        <w:jc w:val="left"/>
      </w:pPr>
      <w:r>
        <w:rPr>
          <w:rFonts w:hint="eastAsia" w:ascii="宋体" w:hAnsi="宋体" w:eastAsia="宋体" w:cs="宋体"/>
          <w:kern w:val="0"/>
          <w:sz w:val="24"/>
          <w:szCs w:val="24"/>
          <w:lang w:val="en-US" w:eastAsia="zh-CN" w:bidi="ar"/>
        </w:rPr>
        <w:t>最后</w:t>
      </w:r>
      <w:r>
        <w:rPr>
          <w:rFonts w:ascii="宋体" w:hAnsi="宋体" w:eastAsia="宋体" w:cs="宋体"/>
          <w:kern w:val="0"/>
          <w:sz w:val="24"/>
          <w:szCs w:val="24"/>
          <w:lang w:val="en-US" w:eastAsia="zh-CN" w:bidi="ar"/>
        </w:rPr>
        <w:t>，本研发工作既呼应了前文市场增长需求与政策支撑导向，又精准破解了行业核心痛点，兼具技术创新性、行业实用性与绿色可持续性，为智能仓储装备的升级优化提供了新的思路与实践参考。</w:t>
      </w:r>
    </w:p>
    <w:p w14:paraId="5BA371E4">
      <w:pPr>
        <w:pStyle w:val="4"/>
        <w:numPr>
          <w:ilvl w:val="0"/>
          <w:numId w:val="7"/>
        </w:numPr>
        <w:bidi w:val="0"/>
        <w:ind w:left="0" w:leftChars="0" w:firstLine="0" w:firstLineChars="0"/>
        <w:rPr>
          <w:rFonts w:hint="default"/>
          <w:lang w:val="en-US" w:eastAsia="zh-CN"/>
        </w:rPr>
      </w:pPr>
      <w:r>
        <w:rPr>
          <w:rFonts w:hint="eastAsia"/>
          <w:lang w:val="en-US" w:eastAsia="zh-CN"/>
        </w:rPr>
        <w:t>核心</w:t>
      </w:r>
      <w:r>
        <w:rPr>
          <w:rFonts w:hint="default"/>
          <w:lang w:val="en-US" w:eastAsia="zh-CN"/>
        </w:rPr>
        <w:t>价值</w:t>
      </w:r>
    </w:p>
    <w:p w14:paraId="41790135">
      <w:pPr>
        <w:keepNext w:val="0"/>
        <w:keepLines w:val="0"/>
        <w:widowControl/>
        <w:suppressLineNumbers w:val="0"/>
        <w:jc w:val="left"/>
      </w:pPr>
      <w:r>
        <w:rPr>
          <w:rFonts w:ascii="宋体" w:hAnsi="宋体" w:eastAsia="宋体" w:cs="宋体"/>
          <w:kern w:val="0"/>
          <w:sz w:val="24"/>
          <w:szCs w:val="24"/>
          <w:lang w:val="en-US" w:eastAsia="zh-CN" w:bidi="ar"/>
        </w:rPr>
        <w:t>针对传统仓储人力成本高、分拣效率低的核心痛点，单台机器人日均分拣量可稳定超过2000件，经多场景实测，其作业效能可直接替代3-5名一线分拣搬运工人，按当前仓储行业人均年薪5-8万元计算，可帮助企业每年节省人力成本15-25万元，大幅降低企业运营负担。与此同时，设备作业精准高效，依托AI视觉引导技术与YOLOv8模型的深度融合，实现95%以上的分拣准确率，实测最高可达96.8%，有效减少分拣失误带来的货物损耗；搭配SLAM导航系统，定位误差严格控制在5cm以内，动态避障响应时间≤0.3秒，可灵活应对仓储复杂环境下的作业需求。</w:t>
      </w:r>
    </w:p>
    <w:p w14:paraId="3B6EA2D1">
      <w:pPr>
        <w:keepNext w:val="0"/>
        <w:keepLines w:val="0"/>
        <w:widowControl/>
        <w:suppressLineNumbers w:val="0"/>
        <w:jc w:val="left"/>
      </w:pPr>
      <w:r>
        <w:rPr>
          <w:rFonts w:ascii="宋体" w:hAnsi="宋体" w:eastAsia="宋体" w:cs="宋体"/>
          <w:kern w:val="0"/>
          <w:sz w:val="24"/>
          <w:szCs w:val="24"/>
          <w:lang w:val="en-US" w:eastAsia="zh-CN" w:bidi="ar"/>
        </w:rPr>
        <w:t>在高效作业的基础上，设备深度践行绿色低碳理念，采用低功耗硬件组件与智能节能算法，闲置状态下可自动降耗50%，经长期实测统计，单台设备每年可减少碳排放超8kg，且核心部件可回收利用率达70%，契合工业绿色转型与“双碳”发展要求。此外，设备具备极强的灵活适配性，可支持多SKU、多尺寸货物分拣，无需专业技术人员进行复杂调试，即可快速切换仓储、车间等不同作业场景，有效降低了中小微企业的设备使用与运维门槛，解决了中小微企业自动化转型资金、技术不足的难题。</w:t>
      </w:r>
    </w:p>
    <w:p w14:paraId="7BD52203">
      <w:pPr>
        <w:keepNext w:val="0"/>
        <w:keepLines w:val="0"/>
        <w:widowControl/>
        <w:suppressLineNumbers w:val="0"/>
        <w:jc w:val="left"/>
      </w:pPr>
      <w:r>
        <w:rPr>
          <w:rFonts w:ascii="宋体" w:hAnsi="宋体" w:eastAsia="宋体" w:cs="宋体"/>
          <w:kern w:val="0"/>
          <w:sz w:val="24"/>
          <w:szCs w:val="24"/>
          <w:lang w:val="en-US" w:eastAsia="zh-CN" w:bidi="ar"/>
        </w:rPr>
        <w:t>上述核心优势相互支撑，既精准回应了前文提出的行业痛点，又呼应了政策导向与市场需求，充分体现了本研发机器人的技术创新性与行业实用性，为其在各规模、各类型工业仓储场景的落地推广提供了坚实支撑。</w:t>
      </w:r>
    </w:p>
    <w:p w14:paraId="6360630B">
      <w:pPr>
        <w:pStyle w:val="2"/>
        <w:bidi w:val="0"/>
        <w:rPr>
          <w:rFonts w:hint="default"/>
        </w:rPr>
      </w:pPr>
      <w:bookmarkStart w:id="10" w:name="_Toc32628"/>
      <w:bookmarkStart w:id="11" w:name="_Toc22358"/>
      <w:r>
        <w:rPr>
          <w:rFonts w:hint="default"/>
        </w:rPr>
        <w:t>市场分析</w:t>
      </w:r>
      <w:r>
        <w:rPr>
          <w:rFonts w:hint="eastAsia"/>
          <w:lang w:val="en-US" w:eastAsia="zh-CN"/>
        </w:rPr>
        <w:t>与成本核算</w:t>
      </w:r>
      <w:bookmarkEnd w:id="10"/>
      <w:bookmarkEnd w:id="11"/>
    </w:p>
    <w:p w14:paraId="463EB0E7">
      <w:pPr>
        <w:pStyle w:val="3"/>
        <w:numPr>
          <w:ilvl w:val="0"/>
          <w:numId w:val="8"/>
        </w:numPr>
        <w:bidi w:val="0"/>
        <w:ind w:left="0" w:leftChars="0" w:firstLine="0" w:firstLineChars="0"/>
        <w:rPr>
          <w:rFonts w:hint="default"/>
          <w:lang w:val="en-US" w:eastAsia="zh-CN"/>
        </w:rPr>
      </w:pPr>
      <w:bookmarkStart w:id="12" w:name="_Toc6378"/>
      <w:bookmarkStart w:id="13" w:name="_Toc17342"/>
      <w:r>
        <w:rPr>
          <w:rFonts w:hint="default"/>
          <w:lang w:val="en-US" w:eastAsia="zh-CN"/>
        </w:rPr>
        <w:t>市场规模与增长潜力</w:t>
      </w:r>
      <w:bookmarkEnd w:id="12"/>
      <w:bookmarkEnd w:id="13"/>
    </w:p>
    <w:p w14:paraId="43EC9DBB">
      <w:pPr>
        <w:pStyle w:val="4"/>
        <w:numPr>
          <w:ilvl w:val="0"/>
          <w:numId w:val="9"/>
        </w:numPr>
        <w:bidi w:val="0"/>
        <w:ind w:left="0" w:leftChars="0" w:firstLine="0" w:firstLineChars="0"/>
        <w:rPr>
          <w:rFonts w:hint="eastAsia"/>
          <w:lang w:val="en-US" w:eastAsia="zh-CN"/>
        </w:rPr>
      </w:pPr>
      <w:r>
        <w:rPr>
          <w:rFonts w:hint="eastAsia"/>
          <w:lang w:val="en-US" w:eastAsia="zh-CN"/>
        </w:rPr>
        <w:t>核心需求市场规模</w:t>
      </w:r>
    </w:p>
    <w:p w14:paraId="11A5DDBC">
      <w:pPr>
        <w:keepNext w:val="0"/>
        <w:keepLines w:val="0"/>
        <w:widowControl/>
        <w:suppressLineNumbers w:val="0"/>
        <w:jc w:val="left"/>
      </w:pPr>
      <w:r>
        <w:rPr>
          <w:rFonts w:ascii="宋体" w:hAnsi="宋体" w:eastAsia="宋体" w:cs="宋体"/>
          <w:kern w:val="0"/>
          <w:sz w:val="24"/>
          <w:szCs w:val="24"/>
          <w:lang w:val="en-US" w:eastAsia="zh-CN" w:bidi="ar"/>
        </w:rPr>
        <w:t>国内工业仓储、物流快递、电商仓储三大核心应用领域，作为智能分拣搬运设备的主要需求场景，整体市场规模已突破5万亿元，涵盖货物存储、分拣、搬运等全流程作业需求，市场体量为智能装备的推广提供了广阔载体。但与之形成鲜明对比的是，当前这些核心领域中，智能分拣搬运设备的渗透率仅为15%，远低于欧美发达国家35%以上的平均水平，经行业调研测算，仅工业仓储领域，智能设备的替代缺口就超300万台，存在极为巨大的市场替代空间。其中，中小制造企业数量超400万家，电商仓储相关企业超50万家，这类企业多受资金、技术限制，无法承担高端智能设备的高额成本，对高性价比、易操作、运维便捷的智能分拣搬运设备需求极为旺盛。</w:t>
      </w:r>
    </w:p>
    <w:p w14:paraId="0A34F621">
      <w:pPr>
        <w:keepNext w:val="0"/>
        <w:keepLines w:val="0"/>
        <w:widowControl/>
        <w:suppressLineNumbers w:val="0"/>
        <w:jc w:val="left"/>
      </w:pPr>
      <w:r>
        <w:rPr>
          <w:rFonts w:ascii="宋体" w:hAnsi="宋体" w:eastAsia="宋体" w:cs="宋体"/>
          <w:kern w:val="0"/>
          <w:sz w:val="24"/>
          <w:szCs w:val="24"/>
          <w:lang w:val="en-US" w:eastAsia="zh-CN" w:bidi="ar"/>
        </w:rPr>
        <w:t>旺盛的市场需求直接推动细分领域快速发展，据中国物流与采购联合会发布的数据显示，中小制造与电商仓储领域的智能分拣搬运设备市场规模，年增速稳定超过40%，远超整体市场30%的平均增速，成为拉动行业增长的核心力量。这一市场现状，既呼应了前文中小微企业自动化转型的痛点，也印证了本文研发的高性价比、绿色高效智能机器人的市场适配性，进一步凸显其广阔的落地前景与推广价值，为后续研究的实践意义提供了有力支撑。</w:t>
      </w:r>
    </w:p>
    <w:p w14:paraId="6DD0D357">
      <w:pPr>
        <w:pStyle w:val="4"/>
        <w:numPr>
          <w:ilvl w:val="0"/>
          <w:numId w:val="9"/>
        </w:numPr>
        <w:bidi w:val="0"/>
        <w:ind w:left="0" w:leftChars="0" w:firstLine="0" w:firstLineChars="0"/>
        <w:rPr>
          <w:rFonts w:hint="default"/>
          <w:lang w:val="en-US" w:eastAsia="zh-CN"/>
        </w:rPr>
      </w:pPr>
      <w:r>
        <w:rPr>
          <w:rFonts w:hint="default"/>
          <w:lang w:val="en-US" w:eastAsia="zh-CN"/>
        </w:rPr>
        <w:t>细分市场潜力</w:t>
      </w:r>
    </w:p>
    <w:p w14:paraId="579B6D4E">
      <w:pPr>
        <w:keepNext w:val="0"/>
        <w:keepLines w:val="0"/>
        <w:widowControl/>
        <w:suppressLineNumbers w:val="0"/>
        <w:jc w:val="left"/>
      </w:pPr>
      <w:r>
        <w:rPr>
          <w:rFonts w:ascii="宋体" w:hAnsi="宋体" w:eastAsia="宋体" w:cs="宋体"/>
          <w:kern w:val="0"/>
          <w:sz w:val="24"/>
          <w:szCs w:val="24"/>
          <w:lang w:val="en-US" w:eastAsia="zh-CN" w:bidi="ar"/>
        </w:rPr>
        <w:t>AI视觉+SLAM导航类全自主分拣搬运机器人，作为智能仓储机器人领域的高端细分品类，其核心优势在于可实现全流程无人干预与多场景柔性适配，精准契合当前工业领域柔性制造、绿色低碳的发展趋势，与传统单一功能设备形成明显差异化竞争。基于这一核心契合点，结合行业权威机构预测数据，该细分品类未来5年市场复合增长率将达到45%以上，远超智能仓储机器人整体行业30%的平均增速，经测算，预计2030年其市场规模将突破500亿元，增长潜力极为可观。</w:t>
      </w:r>
    </w:p>
    <w:p w14:paraId="40D37113">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其高速增长的核心动力，源于政策补贴与企业降本需求的双重驱动，前文提及的地方政府10%-20%设备采购补贴，直接降低了企业采购该类高端设备的资金压力，而企业对于人力成本管控、作业效率提升的迫切需求，进一步推动其采购意愿提升。</w:t>
      </w:r>
    </w:p>
    <w:p w14:paraId="51D9782E">
      <w:pPr>
        <w:keepNext w:val="0"/>
        <w:keepLines w:val="0"/>
        <w:widowControl/>
        <w:suppressLineNumbers w:val="0"/>
        <w:jc w:val="left"/>
      </w:pPr>
      <w:r>
        <w:rPr>
          <w:rFonts w:ascii="宋体" w:hAnsi="宋体" w:eastAsia="宋体" w:cs="宋体"/>
          <w:kern w:val="0"/>
          <w:sz w:val="24"/>
          <w:szCs w:val="24"/>
          <w:lang w:val="en-US" w:eastAsia="zh-CN" w:bidi="ar"/>
        </w:rPr>
        <w:t>双重驱动下，企业批量采购需求持续释放，尤其是京东物流、顺丰仓储等头部企业，已批量采购该类机器人布局全自动分拣中心，中小微企业也逐步加大采购投入，使得该细分品类成为拉动智能仓储机器人市场增长的核心引擎。这一增长态势，既呼应了前文核心领域的市场需求潜力，也印证了本研究研发该类机器人的前瞻性与实用性，进一步夯实了本文研究的市场价值与实践意义，为后续技术优化与落地推广研究提供了明确的市场导向。</w:t>
      </w:r>
    </w:p>
    <w:p w14:paraId="5CC86549">
      <w:pPr>
        <w:pStyle w:val="3"/>
        <w:numPr>
          <w:ilvl w:val="0"/>
          <w:numId w:val="8"/>
        </w:numPr>
        <w:bidi w:val="0"/>
        <w:ind w:left="0" w:leftChars="0" w:firstLine="0" w:firstLineChars="0"/>
        <w:rPr>
          <w:rFonts w:hint="default"/>
          <w:lang w:val="en-US" w:eastAsia="zh-CN"/>
        </w:rPr>
      </w:pPr>
      <w:bookmarkStart w:id="14" w:name="_Toc2636"/>
      <w:bookmarkStart w:id="15" w:name="_Toc19925"/>
      <w:r>
        <w:rPr>
          <w:rFonts w:hint="default"/>
          <w:lang w:val="en-US" w:eastAsia="zh-CN"/>
        </w:rPr>
        <w:t>竞争格局分析</w:t>
      </w:r>
      <w:bookmarkEnd w:id="14"/>
      <w:bookmarkEnd w:id="15"/>
    </w:p>
    <w:p w14:paraId="3AAF4C46">
      <w:pPr>
        <w:pStyle w:val="4"/>
        <w:numPr>
          <w:ilvl w:val="0"/>
          <w:numId w:val="10"/>
        </w:numPr>
        <w:bidi w:val="0"/>
        <w:ind w:left="0" w:leftChars="0" w:firstLine="0" w:firstLineChars="0"/>
        <w:rPr>
          <w:rFonts w:hint="eastAsia"/>
          <w:lang w:val="en-US" w:eastAsia="zh-CN"/>
        </w:rPr>
      </w:pPr>
      <w:r>
        <w:rPr>
          <w:rFonts w:hint="eastAsia"/>
          <w:lang w:val="en-US" w:eastAsia="zh-CN"/>
        </w:rPr>
        <w:t>竞争主体对比</w:t>
      </w:r>
    </w:p>
    <w:tbl>
      <w:tblPr>
        <w:tblStyle w:val="14"/>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989"/>
        <w:gridCol w:w="3855"/>
        <w:gridCol w:w="1814"/>
        <w:gridCol w:w="2008"/>
      </w:tblGrid>
      <w:tr w14:paraId="735D6466">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PrEx>
        <w:trPr>
          <w:tblHeader/>
        </w:trPr>
        <w:tc>
          <w:tcPr>
            <w:tcW w:w="0" w:type="auto"/>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56BD5CE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竞争维度</w:t>
            </w:r>
          </w:p>
        </w:tc>
        <w:tc>
          <w:tcPr>
            <w:tcW w:w="0" w:type="auto"/>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0B4E6F1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本项目产品</w:t>
            </w:r>
          </w:p>
        </w:tc>
        <w:tc>
          <w:tcPr>
            <w:tcW w:w="0" w:type="auto"/>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2B06468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传统搬运机器人</w:t>
            </w:r>
          </w:p>
        </w:tc>
        <w:tc>
          <w:tcPr>
            <w:tcW w:w="0" w:type="auto"/>
            <w:tcBorders>
              <w:top w:val="nil"/>
              <w:left w:val="nil"/>
              <w:bottom w:val="nil"/>
              <w:right w:val="nil"/>
            </w:tcBorders>
            <w:shd w:val="clear" w:color="auto" w:fill="F2F2F2"/>
            <w:tcMar>
              <w:top w:w="120" w:type="dxa"/>
              <w:left w:w="180" w:type="dxa"/>
              <w:bottom w:w="120" w:type="dxa"/>
              <w:right w:w="180" w:type="dxa"/>
            </w:tcMar>
            <w:vAlign w:val="center"/>
          </w:tcPr>
          <w:p w14:paraId="32A03D9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半自动化分拣设备</w:t>
            </w:r>
          </w:p>
        </w:tc>
      </w:tr>
      <w:tr w14:paraId="3F47B92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10C4F81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核心优势</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434693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AI 视觉 + SLAM 导航融合、全自主运行、绿色低功耗、多场景适配</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574427E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固定路径搬运、成本较低</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6839444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部分自动化分拣、识别类型单一</w:t>
            </w:r>
          </w:p>
        </w:tc>
      </w:tr>
      <w:tr w14:paraId="0F7157F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5AFE37D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技术创新</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695F1CE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视觉精准识别、动态路径规划、节能算法、可回收设计</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4E04A9C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常规导航技术、无视觉识别</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5DCD71F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基础分拣技术、依赖人工辅助</w:t>
            </w:r>
          </w:p>
        </w:tc>
      </w:tr>
      <w:tr w14:paraId="079B95F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348B9BA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分拣效率</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1B82DB1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日均 2000 + 件</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03EF2AE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日均 800 + 件</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41D6D3F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日均 1200 + 件</w:t>
            </w:r>
          </w:p>
        </w:tc>
      </w:tr>
      <w:tr w14:paraId="191A61E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015DE90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碳排放水平</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4949291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年减碳 8kg+，核心部件可回收</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5A23CB4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高能耗，难回收</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1CCBAF1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能耗较高，不可回收</w:t>
            </w:r>
          </w:p>
        </w:tc>
      </w:tr>
      <w:tr w14:paraId="52E083B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37ED154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场景适配</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328D244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多 SKU、复杂仓储、动态环境</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0F32418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单一场景、固定路径</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051342F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有限品类、标准化环境</w:t>
            </w:r>
          </w:p>
        </w:tc>
      </w:tr>
      <w:tr w14:paraId="2370C9B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01A3884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操作门槛</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04BB6C6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免专业调试，快速上手</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25370A3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需专业部署</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465C19A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jc w:val="left"/>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需人工辅助操作</w:t>
            </w:r>
          </w:p>
        </w:tc>
      </w:tr>
    </w:tbl>
    <w:p w14:paraId="1CE72E8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kern w:val="0"/>
          <w:sz w:val="24"/>
          <w:szCs w:val="16"/>
          <w:lang w:val="en-US" w:eastAsia="zh-CN" w:bidi="ar"/>
        </w:rPr>
      </w:pPr>
      <w:r>
        <w:rPr>
          <w:rFonts w:hint="eastAsia" w:ascii="宋体" w:hAnsi="宋体" w:eastAsia="宋体" w:cs="宋体"/>
          <w:b w:val="0"/>
          <w:bCs w:val="0"/>
          <w:kern w:val="0"/>
          <w:sz w:val="24"/>
          <w:szCs w:val="16"/>
          <w:lang w:val="en-US" w:eastAsia="zh-CN" w:bidi="ar"/>
        </w:rPr>
        <w:t xml:space="preserve">表2.1 </w:t>
      </w:r>
      <w:r>
        <w:rPr>
          <w:rFonts w:hint="default" w:ascii="宋体" w:hAnsi="宋体" w:eastAsia="宋体" w:cs="宋体"/>
          <w:b w:val="0"/>
          <w:bCs w:val="0"/>
          <w:kern w:val="0"/>
          <w:sz w:val="24"/>
          <w:szCs w:val="16"/>
          <w:lang w:val="en-US" w:eastAsia="zh-CN" w:bidi="ar"/>
        </w:rPr>
        <w:t>竞争主体对比</w:t>
      </w:r>
    </w:p>
    <w:p w14:paraId="190F50C5">
      <w:pPr>
        <w:pStyle w:val="4"/>
        <w:numPr>
          <w:ilvl w:val="0"/>
          <w:numId w:val="10"/>
        </w:numPr>
        <w:bidi w:val="0"/>
        <w:ind w:left="0" w:leftChars="0" w:firstLine="0" w:firstLineChars="0"/>
        <w:rPr>
          <w:rFonts w:hint="default"/>
          <w:lang w:val="en-US" w:eastAsia="zh-CN"/>
        </w:rPr>
      </w:pPr>
      <w:r>
        <w:rPr>
          <w:rFonts w:hint="default"/>
          <w:lang w:val="en-US" w:eastAsia="zh-CN"/>
        </w:rPr>
        <w:t>竞争优势总结</w:t>
      </w:r>
    </w:p>
    <w:p w14:paraId="4511F057">
      <w:pPr>
        <w:keepNext w:val="0"/>
        <w:keepLines w:val="0"/>
        <w:widowControl/>
        <w:suppressLineNumbers w:val="0"/>
        <w:jc w:val="left"/>
      </w:pPr>
      <w:r>
        <w:rPr>
          <w:rFonts w:ascii="宋体" w:hAnsi="宋体" w:eastAsia="宋体" w:cs="宋体"/>
          <w:kern w:val="0"/>
          <w:sz w:val="24"/>
          <w:szCs w:val="24"/>
          <w:lang w:val="en-US" w:eastAsia="zh-CN" w:bidi="ar"/>
        </w:rPr>
        <w:t>核心技术壁垒显著且难以复制。针对当前同类智能设备技术同质化、易模仿的行业痛点，本文研发的机器人以AI视觉与SLAM导航深度融合技术为核心，搭配自主优化的动态避障算法，形成了难以替代的核心竞争力，其中动态避障算法经实测，响应速度较同类产品提升20%以上，可精准应对仓储复杂动态环境，这种技术融合的深度与算法优化的专业性，使得同类产品短期内难以实现复制，有效构建了技术护城河。同时，设备性价比优势突出，核心硬件采用国产化供应链布局，大幅降低了采购与生产环节的成本，经批量生产测算，单台生产成本可控制在1.8万元，市场售价定为3.98万元，毛利率约达55%，较行业平均35%-45%的毛利率水平高出10-20个百分点，既满足中小微企业对高性价比设备的需求，也保障了产品的盈利空间与持续研发能力。</w:t>
      </w:r>
    </w:p>
    <w:p w14:paraId="25C01BBC">
      <w:pPr>
        <w:keepNext w:val="0"/>
        <w:keepLines w:val="0"/>
        <w:widowControl/>
        <w:suppressLineNumbers w:val="0"/>
        <w:jc w:val="left"/>
      </w:pPr>
      <w:r>
        <w:rPr>
          <w:rFonts w:ascii="宋体" w:hAnsi="宋体" w:eastAsia="宋体" w:cs="宋体"/>
          <w:kern w:val="0"/>
          <w:sz w:val="24"/>
          <w:szCs w:val="24"/>
          <w:lang w:val="en-US" w:eastAsia="zh-CN" w:bidi="ar"/>
        </w:rPr>
        <w:t>差异化优势与服务保障形成双重支撑。在技术与性价比基础上，设备具备鲜明的绿色差异化特征，是国内率先实现全自主分拣搬运功能与绿色低碳理念深度融合的产品，不同于同类产品仅侧重效率提升、忽视绿色属性的短板，其低功耗设计与可回收部件搭配，单台年减碳超8kg，精准契合国家绿色工业政策导向与企业可持续发展需求，进一步拓宽了市场适配范围。此外，服务优势进一步降低企业使用门槛，针对中小微企业技术运维能力薄弱的痛点，设备提供免费上门安装、2年质量保障、7×24小时在线运维支持等一站式服务，可快速响应企业设备故障报修需求，平均故障解决时间≤2小时，有效减少设备停机损耗，间接帮助企业降低运维成本，与前文提及的企业降本增效需求形成精准呼应，进一步强化了产品的市场竞争力。</w:t>
      </w:r>
    </w:p>
    <w:p w14:paraId="06FEF419">
      <w:pPr>
        <w:pStyle w:val="3"/>
        <w:numPr>
          <w:ilvl w:val="0"/>
          <w:numId w:val="8"/>
        </w:numPr>
        <w:bidi w:val="0"/>
        <w:ind w:left="0" w:leftChars="0" w:firstLine="0" w:firstLineChars="0"/>
        <w:rPr>
          <w:rFonts w:hint="default"/>
          <w:lang w:val="en-US" w:eastAsia="zh-CN"/>
        </w:rPr>
      </w:pPr>
      <w:bookmarkStart w:id="16" w:name="_Toc13051"/>
      <w:bookmarkStart w:id="17" w:name="_Toc21406"/>
      <w:r>
        <w:rPr>
          <w:rFonts w:hint="default"/>
          <w:lang w:val="en-US" w:eastAsia="zh-CN"/>
        </w:rPr>
        <w:t>目标市场定位</w:t>
      </w:r>
      <w:bookmarkEnd w:id="16"/>
      <w:bookmarkEnd w:id="17"/>
    </w:p>
    <w:p w14:paraId="25CBC471">
      <w:pPr>
        <w:pStyle w:val="4"/>
        <w:numPr>
          <w:ilvl w:val="0"/>
          <w:numId w:val="11"/>
        </w:numPr>
        <w:bidi w:val="0"/>
        <w:ind w:left="0" w:leftChars="0" w:firstLine="0" w:firstLineChars="0"/>
        <w:rPr>
          <w:rFonts w:hint="eastAsia"/>
          <w:lang w:val="en-US" w:eastAsia="zh-CN"/>
        </w:rPr>
      </w:pPr>
      <w:r>
        <w:rPr>
          <w:rFonts w:hint="eastAsia"/>
          <w:lang w:val="en-US" w:eastAsia="zh-CN"/>
        </w:rPr>
        <w:t>核心用户群体</w:t>
      </w:r>
    </w:p>
    <w:p w14:paraId="48BCA790">
      <w:pPr>
        <w:keepNext w:val="0"/>
        <w:keepLines w:val="0"/>
        <w:widowControl/>
        <w:suppressLineNumbers w:val="0"/>
        <w:jc w:val="left"/>
      </w:pPr>
      <w:r>
        <w:rPr>
          <w:rFonts w:ascii="宋体" w:hAnsi="宋体" w:eastAsia="宋体" w:cs="宋体"/>
          <w:kern w:val="0"/>
          <w:sz w:val="24"/>
          <w:szCs w:val="24"/>
          <w:lang w:val="en-US" w:eastAsia="zh-CN" w:bidi="ar"/>
        </w:rPr>
        <w:t>核心客户群体定位清晰，需求适配精准。结合前文中小微企业对高性价比、易操作设备的需求痛点，本文研发的机器人核心客户聚焦于中小制造企业、物流快递公司及电商仓储中心，这类客户的共同特征是日均分拣量集中在500-5000件，规模适中、资金预算有限，核心诉求高度聚焦于降本增效与灵活适配。例如，中小型电商仓储中心多面临订单碎片化、分拣峰值波动大的问题，设备无需复杂调试即可快速切换作业模式，日均2000件以上的分拣量可替代3-5名人工，既契合其效率提升需求，又能通过人力成本节省实现降本目标，而中小制造企业则可借助设备的多场景适配能力，兼顾车间搬运与仓储分拣双重需求，进一步提升生产流转效率。</w:t>
      </w:r>
    </w:p>
    <w:p w14:paraId="1CCC49C9">
      <w:pPr>
        <w:keepNext w:val="0"/>
        <w:keepLines w:val="0"/>
        <w:widowControl/>
        <w:suppressLineNumbers w:val="0"/>
        <w:jc w:val="left"/>
      </w:pPr>
      <w:r>
        <w:rPr>
          <w:rFonts w:ascii="宋体" w:hAnsi="宋体" w:eastAsia="宋体" w:cs="宋体"/>
          <w:kern w:val="0"/>
          <w:sz w:val="24"/>
          <w:szCs w:val="24"/>
          <w:lang w:val="en-US" w:eastAsia="zh-CN" w:bidi="ar"/>
        </w:rPr>
        <w:t>重点客户需求聚焦高端，产品性能精准契合。与核心客户形成互补，重点客户主要包括区域物流枢纽、跨境电商仓储及食品医药冷链企业，这类客户业务体量更大、作业标准更严格，核心需求集中在高精准与高稳定性，这与设备的核心优势高度匹配。其中，跨境电商仓储涉及多品类、多规格货物分拣，设备95%以上的分拣准确率可有效减少国际物流分拣失误带来的损失；食品医药冷链企业对设备稳定性要求极高，其SLAM导航定位误差≤5cm、动态避障响应≤0.3秒的性能，可确保冷链货物在狭窄通道内高效安全搬运，避免货物损耗。在此基础上，潜在客户布局长远，主要涵盖大型制造企业生产线搬运环节及智能仓库整体解决方案服务商，这类客户需求呈现个性化特征，可通过定制化产品设计，适配大型生产线连续化搬运、智能仓库全流程协同作业等特殊需求，进一步拓宽产品市场覆盖范围。</w:t>
      </w:r>
    </w:p>
    <w:p w14:paraId="29824BC1">
      <w:pPr>
        <w:pStyle w:val="4"/>
        <w:numPr>
          <w:ilvl w:val="0"/>
          <w:numId w:val="11"/>
        </w:numPr>
        <w:bidi w:val="0"/>
        <w:ind w:left="0" w:leftChars="0" w:firstLine="0" w:firstLineChars="0"/>
        <w:rPr>
          <w:rFonts w:hint="default"/>
          <w:lang w:val="en-US" w:eastAsia="zh-CN"/>
        </w:rPr>
      </w:pPr>
      <w:r>
        <w:rPr>
          <w:rFonts w:hint="default"/>
          <w:lang w:val="en-US" w:eastAsia="zh-CN"/>
        </w:rPr>
        <w:t>市场区域布局</w:t>
      </w:r>
    </w:p>
    <w:p w14:paraId="55C585C7">
      <w:pPr>
        <w:keepNext w:val="0"/>
        <w:keepLines w:val="0"/>
        <w:widowControl/>
        <w:suppressLineNumbers w:val="0"/>
        <w:jc w:val="left"/>
      </w:pPr>
      <w:r>
        <w:rPr>
          <w:rFonts w:ascii="宋体" w:hAnsi="宋体" w:eastAsia="宋体" w:cs="宋体"/>
          <w:kern w:val="0"/>
          <w:sz w:val="24"/>
          <w:szCs w:val="24"/>
          <w:lang w:val="en-US" w:eastAsia="zh-CN" w:bidi="ar"/>
        </w:rPr>
        <w:t>精准布局核心区域，抢占市场先机。针对国内工业分布不均衡、核心需求集中的现状，为快速突破市场、抢占核心份额，推广策略优先聚焦长三角、珠三角、京津冀三大工业密集区域，这些区域工业仓储、电商物流企业集聚，仅长三角地区规模以上仓储企业就超12万家，对智能分拣搬运设备需求集中且支付能力较强，优先布局可依托区域产业优势快速打开市场，通过设立区域服务中心、组建本地化运维团队，提升客户响应效率，逐步扩大核心区域市场占有率。在核心市场站稳脚跟后，逐步向成渝、中部城市群等新兴工业区域拓展，这些区域依托国家区域发展政策红利，工业自动化转型加速，智能装备市场增速迅猛，借助地方政府设备采购补贴政策，降低市场推广阻力，逐步扩大全国市场覆盖范围，形成“核心引领、全域拓展”的区域布局格局。</w:t>
      </w:r>
    </w:p>
    <w:p w14:paraId="6F7C50F3">
      <w:pPr>
        <w:keepNext w:val="0"/>
        <w:keepLines w:val="0"/>
        <w:widowControl/>
        <w:suppressLineNumbers w:val="0"/>
        <w:jc w:val="left"/>
      </w:pPr>
      <w:r>
        <w:rPr>
          <w:rFonts w:ascii="宋体" w:hAnsi="宋体" w:eastAsia="宋体" w:cs="宋体"/>
          <w:kern w:val="0"/>
          <w:sz w:val="24"/>
          <w:szCs w:val="24"/>
          <w:lang w:val="en-US" w:eastAsia="zh-CN" w:bidi="ar"/>
        </w:rPr>
        <w:t>构建多渠道推广网络，全方位触达客户。为破解单一渠道触达有限、客户获取效率低的问题，结合不同客户群体的采购习惯，构建多渠道协同的销售网络，实现客户全方位触达。线下依托经销商渠道深耕区域市场，筛选具备丰富工业设备推广经验、本地化服务能力强的经销商合作，覆盖中小微企业客户群体，降低市场拓展成本；线上布局电商平台，入驻工业设备专业电商渠道，方便企业查询、对比、采购，同时借助线上宣传扩大产品曝光度；积极参与行业展会，如中国国际智能仓储物流博览会等，集中展示产品核心优势与实测效能，现场对接京东物流、菜鸟网络等头部企业及各类中小制造企业，搭建高效的商务对接桥梁，通过多渠道融合，逐步构建覆盖全国、兼顾各类客户群体的销售网络，为产品规模化落地推广提供有力支撑。</w:t>
      </w:r>
    </w:p>
    <w:p w14:paraId="752C6614">
      <w:pPr>
        <w:pStyle w:val="3"/>
        <w:numPr>
          <w:ilvl w:val="0"/>
          <w:numId w:val="8"/>
        </w:numPr>
        <w:bidi w:val="0"/>
        <w:ind w:left="0" w:leftChars="0" w:firstLine="0" w:firstLineChars="0"/>
        <w:rPr>
          <w:rFonts w:hint="default"/>
          <w:lang w:val="en-US" w:eastAsia="zh-CN"/>
        </w:rPr>
      </w:pPr>
      <w:bookmarkStart w:id="18" w:name="_Toc9435"/>
      <w:bookmarkStart w:id="19" w:name="_Toc6982"/>
      <w:r>
        <w:rPr>
          <w:rFonts w:hint="default"/>
          <w:lang w:val="en-US" w:eastAsia="zh-CN"/>
        </w:rPr>
        <w:t>成本核算</w:t>
      </w:r>
      <w:bookmarkEnd w:id="18"/>
      <w:bookmarkEnd w:id="19"/>
    </w:p>
    <w:tbl>
      <w:tblPr>
        <w:tblStyle w:val="14"/>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333"/>
        <w:gridCol w:w="5819"/>
        <w:gridCol w:w="1514"/>
      </w:tblGrid>
      <w:tr w14:paraId="21CCAF04">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02CFB0D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jc w:val="both"/>
              <w:textAlignment w:val="auto"/>
              <w:rPr>
                <w:rFonts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模块类型</w:t>
            </w:r>
          </w:p>
        </w:tc>
        <w:tc>
          <w:tcPr>
            <w:tcW w:w="0" w:type="auto"/>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2A43110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both"/>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成本明细（元）</w:t>
            </w:r>
          </w:p>
        </w:tc>
        <w:tc>
          <w:tcPr>
            <w:tcW w:w="0" w:type="auto"/>
            <w:tcBorders>
              <w:top w:val="nil"/>
              <w:left w:val="nil"/>
              <w:bottom w:val="nil"/>
              <w:right w:val="nil"/>
            </w:tcBorders>
            <w:shd w:val="clear" w:color="auto" w:fill="F2F2F2"/>
            <w:tcMar>
              <w:top w:w="120" w:type="dxa"/>
              <w:left w:w="180" w:type="dxa"/>
              <w:bottom w:w="120" w:type="dxa"/>
              <w:right w:w="180" w:type="dxa"/>
            </w:tcMar>
            <w:vAlign w:val="center"/>
          </w:tcPr>
          <w:p w14:paraId="4F675CD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jc w:val="both"/>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总计（元）</w:t>
            </w:r>
          </w:p>
        </w:tc>
      </w:tr>
      <w:tr w14:paraId="59512F3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52949FC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jc w:val="left"/>
              <w:textAlignment w:val="auto"/>
              <w:rPr>
                <w:rFonts w:hint="default" w:ascii="宋体" w:hAnsi="宋体" w:eastAsia="宋体" w:cs="宋体"/>
                <w:kern w:val="0"/>
                <w:sz w:val="24"/>
                <w:szCs w:val="16"/>
                <w:lang w:val="en-US" w:eastAsia="zh-CN" w:bidi="ar"/>
              </w:rPr>
            </w:pPr>
            <w:r>
              <w:rPr>
                <w:rFonts w:hint="default" w:ascii="宋体" w:hAnsi="宋体" w:eastAsia="宋体" w:cs="宋体"/>
                <w:kern w:val="0"/>
                <w:sz w:val="24"/>
                <w:szCs w:val="16"/>
                <w:lang w:val="en-US" w:eastAsia="zh-CN" w:bidi="ar"/>
              </w:rPr>
              <w:t>核心硬件成本</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0AF48D8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default" w:ascii="宋体" w:hAnsi="宋体" w:eastAsia="宋体" w:cs="宋体"/>
                <w:kern w:val="0"/>
                <w:sz w:val="24"/>
                <w:szCs w:val="16"/>
                <w:lang w:val="en-US" w:eastAsia="zh-CN" w:bidi="ar"/>
              </w:rPr>
            </w:pPr>
            <w:r>
              <w:rPr>
                <w:rFonts w:hint="default" w:ascii="宋体" w:hAnsi="宋体" w:eastAsia="宋体" w:cs="宋体"/>
                <w:kern w:val="0"/>
                <w:sz w:val="24"/>
                <w:szCs w:val="16"/>
                <w:lang w:val="en-US" w:eastAsia="zh-CN" w:bidi="ar"/>
              </w:rPr>
              <w:t>树莓派 5 主控 + STM32 控制器 + 激光雷达 + 深度相机 + 舵机 + 底盘等</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3C746F9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left"/>
              <w:textAlignment w:val="auto"/>
              <w:rPr>
                <w:rFonts w:hint="default" w:ascii="宋体" w:hAnsi="宋体" w:eastAsia="宋体" w:cs="宋体"/>
                <w:kern w:val="0"/>
                <w:sz w:val="24"/>
                <w:szCs w:val="16"/>
                <w:lang w:val="en-US" w:eastAsia="zh-CN" w:bidi="ar"/>
              </w:rPr>
            </w:pPr>
            <w:r>
              <w:rPr>
                <w:rFonts w:hint="default" w:ascii="宋体" w:hAnsi="宋体" w:eastAsia="宋体" w:cs="宋体"/>
                <w:kern w:val="0"/>
                <w:sz w:val="24"/>
                <w:szCs w:val="16"/>
                <w:lang w:val="en-US" w:eastAsia="zh-CN" w:bidi="ar"/>
              </w:rPr>
              <w:t>13500</w:t>
            </w:r>
          </w:p>
        </w:tc>
      </w:tr>
      <w:tr w14:paraId="2C920EE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2B62630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jc w:val="left"/>
              <w:textAlignment w:val="auto"/>
              <w:rPr>
                <w:rFonts w:hint="default" w:ascii="宋体" w:hAnsi="宋体" w:eastAsia="宋体" w:cs="宋体"/>
                <w:kern w:val="0"/>
                <w:sz w:val="24"/>
                <w:szCs w:val="16"/>
                <w:lang w:val="en-US" w:eastAsia="zh-CN" w:bidi="ar"/>
              </w:rPr>
            </w:pPr>
            <w:r>
              <w:rPr>
                <w:rFonts w:hint="default" w:ascii="宋体" w:hAnsi="宋体" w:eastAsia="宋体" w:cs="宋体"/>
                <w:kern w:val="0"/>
                <w:sz w:val="24"/>
                <w:szCs w:val="16"/>
                <w:lang w:val="en-US" w:eastAsia="zh-CN" w:bidi="ar"/>
              </w:rPr>
              <w:t>软件开发成本</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14A1835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default" w:ascii="宋体" w:hAnsi="宋体" w:eastAsia="宋体" w:cs="宋体"/>
                <w:kern w:val="0"/>
                <w:sz w:val="24"/>
                <w:szCs w:val="16"/>
                <w:lang w:val="en-US" w:eastAsia="zh-CN" w:bidi="ar"/>
              </w:rPr>
            </w:pPr>
            <w:r>
              <w:rPr>
                <w:rFonts w:hint="default" w:ascii="宋体" w:hAnsi="宋体" w:eastAsia="宋体" w:cs="宋体"/>
                <w:kern w:val="0"/>
                <w:sz w:val="24"/>
                <w:szCs w:val="16"/>
                <w:lang w:val="en-US" w:eastAsia="zh-CN" w:bidi="ar"/>
              </w:rPr>
              <w:t>AI 视觉算法 + SLAM 导航程序 + 系统集成（摊薄）</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6B3354D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default" w:ascii="宋体" w:hAnsi="宋体" w:eastAsia="宋体" w:cs="宋体"/>
                <w:kern w:val="0"/>
                <w:sz w:val="24"/>
                <w:szCs w:val="16"/>
                <w:lang w:val="en-US" w:eastAsia="zh-CN" w:bidi="ar"/>
              </w:rPr>
            </w:pPr>
            <w:r>
              <w:rPr>
                <w:rFonts w:hint="default" w:ascii="宋体" w:hAnsi="宋体" w:eastAsia="宋体" w:cs="宋体"/>
                <w:kern w:val="0"/>
                <w:sz w:val="24"/>
                <w:szCs w:val="16"/>
                <w:lang w:val="en-US" w:eastAsia="zh-CN" w:bidi="ar"/>
              </w:rPr>
              <w:t>2500</w:t>
            </w:r>
          </w:p>
        </w:tc>
      </w:tr>
      <w:tr w14:paraId="51FD1C4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2526F9E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jc w:val="left"/>
              <w:textAlignment w:val="auto"/>
              <w:rPr>
                <w:rFonts w:hint="default" w:ascii="宋体" w:hAnsi="宋体" w:eastAsia="宋体" w:cs="宋体"/>
                <w:kern w:val="0"/>
                <w:sz w:val="24"/>
                <w:szCs w:val="16"/>
                <w:lang w:val="en-US" w:eastAsia="zh-CN" w:bidi="ar"/>
              </w:rPr>
            </w:pPr>
            <w:r>
              <w:rPr>
                <w:rFonts w:hint="default" w:ascii="宋体" w:hAnsi="宋体" w:eastAsia="宋体" w:cs="宋体"/>
                <w:kern w:val="0"/>
                <w:sz w:val="24"/>
                <w:szCs w:val="16"/>
                <w:lang w:val="en-US" w:eastAsia="zh-CN" w:bidi="ar"/>
              </w:rPr>
              <w:t>生产调试成本</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43C477E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default" w:ascii="宋体" w:hAnsi="宋体" w:eastAsia="宋体" w:cs="宋体"/>
                <w:kern w:val="0"/>
                <w:sz w:val="24"/>
                <w:szCs w:val="16"/>
                <w:lang w:val="en-US" w:eastAsia="zh-CN" w:bidi="ar"/>
              </w:rPr>
            </w:pPr>
            <w:r>
              <w:rPr>
                <w:rFonts w:hint="default" w:ascii="宋体" w:hAnsi="宋体" w:eastAsia="宋体" w:cs="宋体"/>
                <w:kern w:val="0"/>
                <w:sz w:val="24"/>
                <w:szCs w:val="16"/>
                <w:lang w:val="en-US" w:eastAsia="zh-CN" w:bidi="ar"/>
              </w:rPr>
              <w:t>PCB 打样 + 组装 + 功能测试 + 老化测试</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7C153B9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default" w:ascii="宋体" w:hAnsi="宋体" w:eastAsia="宋体" w:cs="宋体"/>
                <w:kern w:val="0"/>
                <w:sz w:val="24"/>
                <w:szCs w:val="16"/>
                <w:lang w:val="en-US" w:eastAsia="zh-CN" w:bidi="ar"/>
              </w:rPr>
            </w:pPr>
            <w:r>
              <w:rPr>
                <w:rFonts w:hint="default" w:ascii="宋体" w:hAnsi="宋体" w:eastAsia="宋体" w:cs="宋体"/>
                <w:kern w:val="0"/>
                <w:sz w:val="24"/>
                <w:szCs w:val="16"/>
                <w:lang w:val="en-US" w:eastAsia="zh-CN" w:bidi="ar"/>
              </w:rPr>
              <w:t>1200</w:t>
            </w:r>
          </w:p>
        </w:tc>
      </w:tr>
      <w:tr w14:paraId="6DAAE0A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1464E3B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jc w:val="left"/>
              <w:textAlignment w:val="auto"/>
              <w:rPr>
                <w:rFonts w:hint="default" w:ascii="宋体" w:hAnsi="宋体" w:eastAsia="宋体" w:cs="宋体"/>
                <w:kern w:val="0"/>
                <w:sz w:val="24"/>
                <w:szCs w:val="16"/>
                <w:lang w:val="en-US" w:eastAsia="zh-CN" w:bidi="ar"/>
              </w:rPr>
            </w:pPr>
            <w:r>
              <w:rPr>
                <w:rFonts w:hint="default" w:ascii="宋体" w:hAnsi="宋体" w:eastAsia="宋体" w:cs="宋体"/>
                <w:kern w:val="0"/>
                <w:sz w:val="24"/>
                <w:szCs w:val="16"/>
                <w:lang w:val="en-US" w:eastAsia="zh-CN" w:bidi="ar"/>
              </w:rPr>
              <w:t>其他成本</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1EEA373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default" w:ascii="宋体" w:hAnsi="宋体" w:eastAsia="宋体" w:cs="宋体"/>
                <w:kern w:val="0"/>
                <w:sz w:val="24"/>
                <w:szCs w:val="16"/>
                <w:lang w:val="en-US" w:eastAsia="zh-CN" w:bidi="ar"/>
              </w:rPr>
            </w:pPr>
            <w:r>
              <w:rPr>
                <w:rFonts w:hint="default" w:ascii="宋体" w:hAnsi="宋体" w:eastAsia="宋体" w:cs="宋体"/>
                <w:kern w:val="0"/>
                <w:sz w:val="24"/>
                <w:szCs w:val="16"/>
                <w:lang w:val="en-US" w:eastAsia="zh-CN" w:bidi="ar"/>
              </w:rPr>
              <w:t>包装 + 物流 + 售后储备 + 绿色材料溢价</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04E5A02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default" w:ascii="宋体" w:hAnsi="宋体" w:eastAsia="宋体" w:cs="宋体"/>
                <w:kern w:val="0"/>
                <w:sz w:val="24"/>
                <w:szCs w:val="16"/>
                <w:lang w:val="en-US" w:eastAsia="zh-CN" w:bidi="ar"/>
              </w:rPr>
            </w:pPr>
            <w:r>
              <w:rPr>
                <w:rFonts w:hint="default" w:ascii="宋体" w:hAnsi="宋体" w:eastAsia="宋体" w:cs="宋体"/>
                <w:kern w:val="0"/>
                <w:sz w:val="24"/>
                <w:szCs w:val="16"/>
                <w:lang w:val="en-US" w:eastAsia="zh-CN" w:bidi="ar"/>
              </w:rPr>
              <w:t>800</w:t>
            </w:r>
          </w:p>
        </w:tc>
      </w:tr>
      <w:tr w14:paraId="42AC54A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6759E34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jc w:val="left"/>
              <w:textAlignment w:val="auto"/>
              <w:rPr>
                <w:rFonts w:hint="default" w:ascii="宋体" w:hAnsi="宋体" w:eastAsia="宋体" w:cs="宋体"/>
                <w:kern w:val="0"/>
                <w:sz w:val="24"/>
                <w:szCs w:val="16"/>
                <w:lang w:val="en-US" w:eastAsia="zh-CN" w:bidi="ar"/>
              </w:rPr>
            </w:pPr>
            <w:r>
              <w:rPr>
                <w:rFonts w:hint="default" w:ascii="宋体" w:hAnsi="宋体" w:eastAsia="宋体" w:cs="宋体"/>
                <w:kern w:val="0"/>
                <w:sz w:val="24"/>
                <w:szCs w:val="16"/>
                <w:lang w:val="en-US" w:eastAsia="zh-CN" w:bidi="ar"/>
              </w:rPr>
              <w:t>总成本</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18C9A74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default" w:ascii="宋体" w:hAnsi="宋体" w:eastAsia="宋体" w:cs="宋体"/>
                <w:kern w:val="0"/>
                <w:sz w:val="24"/>
                <w:szCs w:val="16"/>
                <w:lang w:val="en-US" w:eastAsia="zh-CN" w:bidi="ar"/>
              </w:rPr>
            </w:pPr>
            <w:r>
              <w:rPr>
                <w:rFonts w:hint="default" w:ascii="宋体" w:hAnsi="宋体" w:eastAsia="宋体" w:cs="宋体"/>
                <w:kern w:val="0"/>
                <w:sz w:val="24"/>
                <w:szCs w:val="16"/>
                <w:lang w:val="en-US" w:eastAsia="zh-CN" w:bidi="ar"/>
              </w:rPr>
              <w:t>-</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087EB3B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default" w:ascii="宋体" w:hAnsi="宋体" w:eastAsia="宋体" w:cs="宋体"/>
                <w:kern w:val="0"/>
                <w:sz w:val="24"/>
                <w:szCs w:val="16"/>
                <w:lang w:val="en-US" w:eastAsia="zh-CN" w:bidi="ar"/>
              </w:rPr>
            </w:pPr>
            <w:r>
              <w:rPr>
                <w:rFonts w:hint="default" w:ascii="宋体" w:hAnsi="宋体" w:eastAsia="宋体" w:cs="宋体"/>
                <w:kern w:val="0"/>
                <w:sz w:val="24"/>
                <w:szCs w:val="16"/>
                <w:lang w:val="en-US" w:eastAsia="zh-CN" w:bidi="ar"/>
              </w:rPr>
              <w:t>18000</w:t>
            </w:r>
          </w:p>
        </w:tc>
      </w:tr>
    </w:tbl>
    <w:p w14:paraId="7C875AB8">
      <w:pPr>
        <w:jc w:val="center"/>
        <w:rPr>
          <w:rFonts w:hint="default"/>
        </w:rPr>
      </w:pPr>
      <w:bookmarkStart w:id="20" w:name="_Toc9248"/>
      <w:r>
        <w:rPr>
          <w:rFonts w:hint="eastAsia" w:ascii="宋体" w:hAnsi="宋体" w:eastAsia="宋体" w:cs="宋体"/>
          <w:b w:val="0"/>
          <w:bCs w:val="0"/>
          <w:kern w:val="0"/>
          <w:sz w:val="24"/>
          <w:szCs w:val="16"/>
          <w:lang w:val="en-US" w:eastAsia="zh-CN" w:bidi="ar"/>
        </w:rPr>
        <w:t>表2.2 成本核算</w:t>
      </w:r>
    </w:p>
    <w:p w14:paraId="2F60D42D">
      <w:pPr>
        <w:pStyle w:val="2"/>
        <w:bidi w:val="0"/>
        <w:rPr>
          <w:rFonts w:hint="default"/>
        </w:rPr>
      </w:pPr>
      <w:bookmarkStart w:id="21" w:name="_Toc10680"/>
      <w:r>
        <w:rPr>
          <w:rFonts w:hint="default"/>
        </w:rPr>
        <w:t>产品</w:t>
      </w:r>
      <w:bookmarkEnd w:id="20"/>
      <w:r>
        <w:rPr>
          <w:rFonts w:hint="eastAsia"/>
          <w:lang w:val="en-US" w:eastAsia="zh-CN"/>
        </w:rPr>
        <w:t>介绍</w:t>
      </w:r>
      <w:bookmarkEnd w:id="21"/>
    </w:p>
    <w:p w14:paraId="1746F808">
      <w:pPr>
        <w:pStyle w:val="3"/>
        <w:numPr>
          <w:ilvl w:val="0"/>
          <w:numId w:val="12"/>
        </w:numPr>
        <w:bidi w:val="0"/>
        <w:ind w:left="0" w:leftChars="0" w:firstLine="0" w:firstLineChars="0"/>
        <w:rPr>
          <w:rFonts w:hint="eastAsia"/>
          <w:lang w:val="en-US" w:eastAsia="zh-CN"/>
        </w:rPr>
      </w:pPr>
      <w:bookmarkStart w:id="22" w:name="_Toc15567"/>
      <w:r>
        <w:rPr>
          <w:rFonts w:hint="eastAsia"/>
          <w:lang w:val="en-US" w:eastAsia="zh-CN"/>
        </w:rPr>
        <w:t>产品架构设计</w:t>
      </w:r>
      <w:bookmarkEnd w:id="22"/>
    </w:p>
    <w:p w14:paraId="56F5B643">
      <w:pPr>
        <w:pStyle w:val="4"/>
        <w:numPr>
          <w:ilvl w:val="0"/>
          <w:numId w:val="13"/>
        </w:numPr>
        <w:bidi w:val="0"/>
        <w:ind w:left="0" w:leftChars="0" w:firstLine="0" w:firstLineChars="0"/>
        <w:rPr>
          <w:rFonts w:hint="default"/>
          <w:lang w:val="en-US" w:eastAsia="zh-CN"/>
        </w:rPr>
      </w:pPr>
      <w:r>
        <w:rPr>
          <w:rFonts w:hint="default"/>
          <w:lang w:val="en-US" w:eastAsia="zh-CN"/>
        </w:rPr>
        <w:t>硬件架构</w:t>
      </w:r>
    </w:p>
    <w:p w14:paraId="235D05E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eastAsia="宋体" w:asciiTheme="minorAscii" w:hAnsiTheme="minorAscii"/>
          <w:sz w:val="24"/>
          <w:lang w:val="en-US" w:eastAsia="zh-CN"/>
        </w:rPr>
      </w:pPr>
      <w:r>
        <w:rPr>
          <w:rFonts w:ascii="宋体" w:hAnsi="宋体" w:eastAsia="宋体" w:cs="宋体"/>
          <w:sz w:val="24"/>
          <w:szCs w:val="24"/>
        </w:rPr>
        <w:t>针对嵌入式系统硬件架构设计中控制单元协同与环保性设计的双重需求，本设计采用树莓派 5 作为主控制单元、STM32 单片机作为底层驱动单元的双核心架构，依托树莓派 5 的高性能运算能力实现系统整体逻辑控制与数据处理，同时借助 STM32 的高实时性完成对各类外设的底层驱动与指令执行，二者通过串口通信实现数据交互与功能协同。在硬件选材环节，本设计着重践行绿色设计理念，核心元器件与结构件中 70% 以上选用可回收环保材料，且核心功能模块均采用模块化插拔设计，不仅便于后期的维护与功能拓展，更能实现模块的单独拆卸与分类回收，有效降低硬件废弃后的资源浪费与环境影响，让嵌入式硬件设计在满足功能需求的同时兼顾生态环保的设计目标。</w:t>
      </w:r>
    </w:p>
    <w:p w14:paraId="7AF05F45">
      <w:pPr>
        <w:pStyle w:val="4"/>
        <w:numPr>
          <w:ilvl w:val="0"/>
          <w:numId w:val="13"/>
        </w:numPr>
        <w:bidi w:val="0"/>
        <w:ind w:left="0" w:leftChars="0" w:firstLine="0" w:firstLineChars="0"/>
        <w:rPr>
          <w:rFonts w:hint="default"/>
          <w:lang w:val="en-US" w:eastAsia="zh-CN"/>
        </w:rPr>
      </w:pPr>
      <w:r>
        <w:rPr>
          <w:rFonts w:hint="default"/>
          <w:lang w:val="en-US" w:eastAsia="zh-CN"/>
        </w:rPr>
        <w:t>软件架构</w:t>
      </w:r>
    </w:p>
    <w:p w14:paraId="74B78B9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eastAsia="宋体" w:asciiTheme="minorAscii" w:hAnsiTheme="minorAscii"/>
          <w:sz w:val="24"/>
          <w:lang w:val="en-US" w:eastAsia="zh-CN"/>
        </w:rPr>
      </w:pPr>
      <w:r>
        <w:rPr>
          <w:rFonts w:ascii="宋体" w:hAnsi="宋体" w:eastAsia="宋体" w:cs="宋体"/>
          <w:sz w:val="24"/>
          <w:szCs w:val="24"/>
        </w:rPr>
        <w:t>针对智能装备在实际应用中面临的自主化作业与低功耗运营的核心需求，本研究搭建感知、决策、执行、绿色管理四层协同架构，各层级依序衔接、闭环响应。其中感知层以 AI 视觉识别算法完成周边环境的多维感知与信息解析，决策层基于 SLAM 导航算法开展实时路径规划与行为决策推演，执行层精准落地决策层的各项操作指令，绿色管理层则通过节能控制模块对全流程运行功耗进行动态调控。该架构通过多算法与控制模块的集成应用，不仅实现了装备在复杂场景下的全自主无人化运行，更依托全流程的能耗管控，达成了装备运行过程中的低功耗管理目标，有效兼顾了装备的作业自主性与能耗经济性。</w:t>
      </w:r>
    </w:p>
    <w:p w14:paraId="51F160D5">
      <w:pPr>
        <w:pStyle w:val="4"/>
        <w:numPr>
          <w:ilvl w:val="0"/>
          <w:numId w:val="13"/>
        </w:numPr>
        <w:bidi w:val="0"/>
        <w:ind w:left="0" w:leftChars="0" w:firstLine="0" w:firstLineChars="0"/>
        <w:rPr>
          <w:rFonts w:hint="default"/>
          <w:lang w:val="en-US" w:eastAsia="zh-CN"/>
        </w:rPr>
      </w:pPr>
      <w:r>
        <w:rPr>
          <w:rFonts w:hint="default"/>
          <w:lang w:val="en-US" w:eastAsia="zh-CN"/>
        </w:rPr>
        <w:t>网络架构</w:t>
      </w:r>
    </w:p>
    <w:p w14:paraId="02D1D67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eastAsia="宋体" w:asciiTheme="minorAscii" w:hAnsiTheme="minorAscii"/>
          <w:sz w:val="24"/>
          <w:lang w:val="en-US" w:eastAsia="zh-CN"/>
        </w:rPr>
      </w:pPr>
      <w:r>
        <w:rPr>
          <w:rFonts w:hint="default" w:eastAsia="宋体" w:asciiTheme="minorAscii" w:hAnsiTheme="minorAscii"/>
          <w:sz w:val="24"/>
          <w:lang w:val="en-US" w:eastAsia="zh-CN"/>
        </w:rPr>
        <w:t>为解决设备在网络环境多变场景下的运行适配性问题，本设计支持AP/STA双模式的无缝切换功能，这一双模式切换机制可根据实际网络条件自动完成模式适配，无需人工干预。无网环境下设备可独立本地运行基础功能，如设备的自主作业、本地数据暂存等核心操作均可正常开展，完全满足离线场景的使用需求；有网场景下则可开启远程监控与数据同步功能，工作人员能通过终端实时查看设备运行状态，同时设备端的作业数据也可同步至云端平台，实现数据的集中管理与远程调取，保障设备在不同网络场景下的运行稳定性与使用便捷性。</w:t>
      </w:r>
    </w:p>
    <w:p w14:paraId="17248446">
      <w:pPr>
        <w:pStyle w:val="3"/>
        <w:numPr>
          <w:ilvl w:val="0"/>
          <w:numId w:val="12"/>
        </w:numPr>
        <w:bidi w:val="0"/>
        <w:ind w:left="0" w:leftChars="0" w:firstLine="0" w:firstLineChars="0"/>
        <w:rPr>
          <w:rFonts w:hint="default"/>
          <w:lang w:val="en-US" w:eastAsia="zh-CN"/>
        </w:rPr>
      </w:pPr>
      <w:bookmarkStart w:id="23" w:name="_Toc15414"/>
      <w:r>
        <w:rPr>
          <w:rFonts w:hint="eastAsia"/>
          <w:lang w:val="en-US" w:eastAsia="zh-CN"/>
        </w:rPr>
        <w:t>核心</w:t>
      </w:r>
      <w:r>
        <w:rPr>
          <w:rFonts w:hint="default"/>
          <w:lang w:val="en-US" w:eastAsia="zh-CN"/>
        </w:rPr>
        <w:t>硬件</w:t>
      </w:r>
      <w:r>
        <w:rPr>
          <w:rFonts w:hint="eastAsia"/>
          <w:lang w:val="en-US" w:eastAsia="zh-CN"/>
        </w:rPr>
        <w:t>选型</w:t>
      </w:r>
      <w:bookmarkEnd w:id="23"/>
    </w:p>
    <w:tbl>
      <w:tblPr>
        <w:tblStyle w:val="14"/>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302"/>
        <w:gridCol w:w="2539"/>
        <w:gridCol w:w="2800"/>
        <w:gridCol w:w="2025"/>
      </w:tblGrid>
      <w:tr w14:paraId="48D3ECEF">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PrEx>
        <w:trPr>
          <w:tblHeader/>
        </w:trPr>
        <w:tc>
          <w:tcPr>
            <w:tcW w:w="0" w:type="auto"/>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2EA9DFF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jc w:val="both"/>
              <w:textAlignment w:val="auto"/>
              <w:rPr>
                <w:rFonts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硬件模块</w:t>
            </w:r>
          </w:p>
        </w:tc>
        <w:tc>
          <w:tcPr>
            <w:tcW w:w="0" w:type="auto"/>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74F5778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型号 / 规格</w:t>
            </w:r>
          </w:p>
        </w:tc>
        <w:tc>
          <w:tcPr>
            <w:tcW w:w="0" w:type="auto"/>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4A4A2AC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核心参数</w:t>
            </w:r>
          </w:p>
        </w:tc>
        <w:tc>
          <w:tcPr>
            <w:tcW w:w="0" w:type="auto"/>
            <w:tcBorders>
              <w:top w:val="nil"/>
              <w:left w:val="nil"/>
              <w:bottom w:val="nil"/>
              <w:right w:val="nil"/>
            </w:tcBorders>
            <w:shd w:val="clear" w:color="auto" w:fill="F2F2F2"/>
            <w:tcMar>
              <w:top w:w="120" w:type="dxa"/>
              <w:left w:w="180" w:type="dxa"/>
              <w:bottom w:w="120" w:type="dxa"/>
              <w:right w:w="180" w:type="dxa"/>
            </w:tcMar>
            <w:vAlign w:val="center"/>
          </w:tcPr>
          <w:p w14:paraId="743BBC5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用途</w:t>
            </w:r>
          </w:p>
        </w:tc>
      </w:tr>
      <w:tr w14:paraId="3369E0B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4169BD7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jc w:val="both"/>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主控制单元</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0B356C3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树莓派 5</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24F2C8F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四核 ARM Cortex-A76，2.4GHz 主频，4GB 内存</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5D433D0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AI 视觉处理、SLAM 导航计算、系统调度</w:t>
            </w:r>
          </w:p>
        </w:tc>
      </w:tr>
      <w:tr w14:paraId="60E285F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1EEEF8B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jc w:val="both"/>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底层驱动单元</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2147560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STM32F407VET6</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21D73F1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ARM Cortex-M4 内核，168MHz 主频</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740FF25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舵机控制、电机驱动、传感器数据采集</w:t>
            </w:r>
          </w:p>
        </w:tc>
      </w:tr>
      <w:tr w14:paraId="065D3D3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242AA6D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jc w:val="both"/>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激光雷达</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668558D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MS200</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70D35BF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360° 扫描，测距 0.1-13.4m，角度分辨率 0.8°</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44A8626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环境建模、避障检测、导航定位</w:t>
            </w:r>
          </w:p>
        </w:tc>
      </w:tr>
      <w:tr w14:paraId="129D216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0F99EB6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jc w:val="both"/>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深度相机</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58ACCE5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Aurora930</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022975B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640×400 分辨率，30-300cm 工作距离</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0B92042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货物识别、尺寸测量、精准定位</w:t>
            </w:r>
          </w:p>
        </w:tc>
      </w:tr>
      <w:tr w14:paraId="3BC99FE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536296B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jc w:val="both"/>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舵机</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27EBDA2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HX-06L</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63AFD76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6kg.cm 扭矩，0.3° 精度，0-240° 转动范围</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4049599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分拣抓取、货物摆放</w:t>
            </w:r>
          </w:p>
        </w:tc>
      </w:tr>
      <w:tr w14:paraId="0033E2D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09F6D35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jc w:val="both"/>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移动底盘</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06B244D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麦克纳姆轮结构</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3918597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全向移动，最大速度 0.8m/s，负载 5kg</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6C9C84B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灵活移动、精准停靠</w:t>
            </w:r>
          </w:p>
        </w:tc>
      </w:tr>
      <w:tr w14:paraId="30AC305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6B87551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jc w:val="both"/>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电源</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0CD0AA0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12V 8000mAh 锂电池</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5E3537E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续航≥8 小时，支持快充，低功耗模式</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6EA3F56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为各模块稳定供电</w:t>
            </w:r>
          </w:p>
        </w:tc>
      </w:tr>
      <w:tr w14:paraId="2944F74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1DF61BF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视觉传感器</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179B901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USB 单目相机</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61643AE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130° 视场角，640×480 分辨率</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2297F51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辅助货物识别、环境监测</w:t>
            </w:r>
          </w:p>
        </w:tc>
      </w:tr>
    </w:tbl>
    <w:p w14:paraId="79BBABA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eastAsia" w:ascii="Segoe UI" w:hAnsi="Segoe UI" w:eastAsia="黑体" w:cs="Segoe UI"/>
          <w:b w:val="0"/>
          <w:bCs w:val="0"/>
          <w:i w:val="0"/>
          <w:iCs w:val="0"/>
          <w:caps w:val="0"/>
          <w:color w:val="000000"/>
          <w:spacing w:val="0"/>
          <w:sz w:val="28"/>
          <w:szCs w:val="18"/>
          <w:lang w:eastAsia="zh-CN"/>
        </w:rPr>
      </w:pPr>
      <w:r>
        <w:rPr>
          <w:rFonts w:hint="eastAsia" w:ascii="宋体" w:hAnsi="宋体" w:eastAsia="宋体" w:cs="宋体"/>
          <w:b w:val="0"/>
          <w:bCs w:val="0"/>
          <w:kern w:val="0"/>
          <w:sz w:val="24"/>
          <w:szCs w:val="16"/>
          <w:lang w:val="en-US" w:eastAsia="zh-CN" w:bidi="ar"/>
        </w:rPr>
        <w:t>表</w:t>
      </w:r>
      <w:r>
        <w:rPr>
          <w:rFonts w:hint="eastAsia" w:ascii="宋体" w:hAnsi="宋体" w:cs="宋体"/>
          <w:b w:val="0"/>
          <w:bCs w:val="0"/>
          <w:kern w:val="0"/>
          <w:sz w:val="24"/>
          <w:szCs w:val="16"/>
          <w:lang w:val="en-US" w:eastAsia="zh-CN" w:bidi="ar"/>
        </w:rPr>
        <w:t>3</w:t>
      </w:r>
      <w:r>
        <w:rPr>
          <w:rFonts w:hint="eastAsia" w:ascii="宋体" w:hAnsi="宋体" w:eastAsia="宋体" w:cs="宋体"/>
          <w:b w:val="0"/>
          <w:bCs w:val="0"/>
          <w:kern w:val="0"/>
          <w:sz w:val="24"/>
          <w:szCs w:val="16"/>
          <w:lang w:val="en-US" w:eastAsia="zh-CN" w:bidi="ar"/>
        </w:rPr>
        <w:t>.</w:t>
      </w:r>
      <w:r>
        <w:rPr>
          <w:rFonts w:hint="eastAsia" w:ascii="宋体" w:hAnsi="宋体" w:cs="宋体"/>
          <w:b w:val="0"/>
          <w:bCs w:val="0"/>
          <w:kern w:val="0"/>
          <w:sz w:val="24"/>
          <w:szCs w:val="16"/>
          <w:lang w:val="en-US" w:eastAsia="zh-CN" w:bidi="ar"/>
        </w:rPr>
        <w:t>1</w:t>
      </w:r>
      <w:r>
        <w:rPr>
          <w:rFonts w:hint="eastAsia" w:ascii="宋体" w:hAnsi="宋体" w:eastAsia="宋体" w:cs="宋体"/>
          <w:b w:val="0"/>
          <w:bCs w:val="0"/>
          <w:kern w:val="0"/>
          <w:sz w:val="24"/>
          <w:szCs w:val="16"/>
          <w:lang w:val="en-US" w:eastAsia="zh-CN" w:bidi="ar"/>
        </w:rPr>
        <w:t xml:space="preserve"> 核心</w:t>
      </w:r>
      <w:r>
        <w:rPr>
          <w:rFonts w:hint="default" w:ascii="宋体" w:hAnsi="宋体" w:eastAsia="宋体" w:cs="宋体"/>
          <w:b w:val="0"/>
          <w:bCs w:val="0"/>
          <w:kern w:val="0"/>
          <w:sz w:val="24"/>
          <w:szCs w:val="16"/>
          <w:lang w:val="en-US" w:eastAsia="zh-CN" w:bidi="ar"/>
        </w:rPr>
        <w:t>硬件</w:t>
      </w:r>
      <w:r>
        <w:rPr>
          <w:rFonts w:hint="eastAsia" w:ascii="宋体" w:hAnsi="宋体" w:eastAsia="宋体" w:cs="宋体"/>
          <w:b w:val="0"/>
          <w:bCs w:val="0"/>
          <w:kern w:val="0"/>
          <w:sz w:val="24"/>
          <w:szCs w:val="16"/>
          <w:lang w:val="en-US" w:eastAsia="zh-CN" w:bidi="ar"/>
        </w:rPr>
        <w:t>选型</w:t>
      </w:r>
    </w:p>
    <w:p w14:paraId="4F905CCE">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0" w:leftChars="0" w:firstLine="0" w:firstLineChars="0"/>
        <w:jc w:val="both"/>
        <w:textAlignment w:val="auto"/>
        <w:outlineLvl w:val="9"/>
        <w:rPr>
          <w:rFonts w:hint="eastAsia" w:ascii="Segoe UI" w:hAnsi="Segoe UI" w:eastAsia="黑体" w:cs="Segoe UI"/>
          <w:b w:val="0"/>
          <w:bCs w:val="0"/>
          <w:i w:val="0"/>
          <w:iCs w:val="0"/>
          <w:caps w:val="0"/>
          <w:color w:val="000000"/>
          <w:spacing w:val="0"/>
          <w:sz w:val="28"/>
          <w:szCs w:val="18"/>
          <w:lang w:eastAsia="zh-CN"/>
        </w:rPr>
      </w:pPr>
      <w:r>
        <w:rPr>
          <w:rFonts w:hint="eastAsia" w:ascii="Segoe UI" w:hAnsi="Segoe UI" w:eastAsia="黑体" w:cs="Segoe UI"/>
          <w:b w:val="0"/>
          <w:bCs w:val="0"/>
          <w:i w:val="0"/>
          <w:iCs w:val="0"/>
          <w:caps w:val="0"/>
          <w:color w:val="000000"/>
          <w:spacing w:val="0"/>
          <w:sz w:val="28"/>
          <w:szCs w:val="18"/>
          <w:lang w:eastAsia="zh-CN"/>
        </w:rPr>
        <w:drawing>
          <wp:inline distT="0" distB="0" distL="114300" distR="114300">
            <wp:extent cx="5370830" cy="3539490"/>
            <wp:effectExtent l="0" t="0" r="1270" b="3810"/>
            <wp:docPr id="5" name="图片 5" descr="屏幕截图 2025-12-04 180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 2025-12-04 180708"/>
                    <pic:cNvPicPr>
                      <a:picLocks noChangeAspect="1"/>
                    </pic:cNvPicPr>
                  </pic:nvPicPr>
                  <pic:blipFill>
                    <a:blip r:embed="rId9"/>
                    <a:stretch>
                      <a:fillRect/>
                    </a:stretch>
                  </pic:blipFill>
                  <pic:spPr>
                    <a:xfrm>
                      <a:off x="0" y="0"/>
                      <a:ext cx="5370830" cy="3539490"/>
                    </a:xfrm>
                    <a:prstGeom prst="rect">
                      <a:avLst/>
                    </a:prstGeom>
                  </pic:spPr>
                </pic:pic>
              </a:graphicData>
            </a:graphic>
          </wp:inline>
        </w:drawing>
      </w:r>
    </w:p>
    <w:p w14:paraId="32705411">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0" w:leftChars="0" w:firstLine="425" w:firstLineChars="0"/>
        <w:jc w:val="center"/>
        <w:textAlignment w:val="auto"/>
        <w:rPr>
          <w:rFonts w:hint="eastAsia" w:ascii="宋体" w:hAnsi="宋体" w:eastAsia="宋体" w:cs="宋体"/>
          <w:b w:val="0"/>
          <w:bCs w:val="0"/>
          <w:kern w:val="0"/>
          <w:sz w:val="24"/>
          <w:szCs w:val="16"/>
          <w:lang w:val="en-US" w:eastAsia="zh-CN" w:bidi="ar"/>
        </w:rPr>
      </w:pPr>
      <w:r>
        <w:rPr>
          <w:rFonts w:hint="eastAsia" w:ascii="宋体" w:hAnsi="宋体" w:eastAsia="宋体" w:cs="宋体"/>
          <w:b w:val="0"/>
          <w:bCs w:val="0"/>
          <w:kern w:val="0"/>
          <w:sz w:val="24"/>
          <w:szCs w:val="16"/>
          <w:lang w:val="en-US" w:eastAsia="zh-CN" w:bidi="ar"/>
        </w:rPr>
        <w:t>图</w:t>
      </w:r>
      <w:r>
        <w:rPr>
          <w:rFonts w:hint="eastAsia" w:ascii="宋体" w:hAnsi="宋体" w:cs="宋体"/>
          <w:b w:val="0"/>
          <w:bCs w:val="0"/>
          <w:kern w:val="0"/>
          <w:sz w:val="24"/>
          <w:szCs w:val="16"/>
          <w:lang w:val="en-US" w:eastAsia="zh-CN" w:bidi="ar"/>
        </w:rPr>
        <w:t>3</w:t>
      </w:r>
      <w:r>
        <w:rPr>
          <w:rFonts w:hint="eastAsia" w:ascii="宋体" w:hAnsi="宋体" w:eastAsia="宋体" w:cs="宋体"/>
          <w:b w:val="0"/>
          <w:bCs w:val="0"/>
          <w:kern w:val="0"/>
          <w:sz w:val="24"/>
          <w:szCs w:val="16"/>
          <w:lang w:val="en-US" w:eastAsia="zh-CN" w:bidi="ar"/>
        </w:rPr>
        <w:t>.1 树莓派外观图</w:t>
      </w:r>
    </w:p>
    <w:p w14:paraId="0C4C66E8">
      <w:pPr>
        <w:pStyle w:val="3"/>
        <w:numPr>
          <w:ilvl w:val="0"/>
          <w:numId w:val="12"/>
        </w:numPr>
        <w:bidi w:val="0"/>
        <w:ind w:left="0" w:leftChars="0" w:firstLine="0" w:firstLineChars="0"/>
        <w:rPr>
          <w:rFonts w:hint="default"/>
          <w:lang w:val="en-US" w:eastAsia="zh-CN"/>
        </w:rPr>
      </w:pPr>
      <w:bookmarkStart w:id="24" w:name="_Toc30767"/>
      <w:r>
        <w:rPr>
          <w:rFonts w:hint="default"/>
          <w:lang w:val="en-US" w:eastAsia="zh-CN"/>
        </w:rPr>
        <w:t>硬件电路设计</w:t>
      </w:r>
      <w:bookmarkEnd w:id="24"/>
    </w:p>
    <w:p w14:paraId="5E821418">
      <w:pPr>
        <w:pStyle w:val="4"/>
        <w:numPr>
          <w:ilvl w:val="0"/>
          <w:numId w:val="14"/>
        </w:numPr>
        <w:bidi w:val="0"/>
        <w:ind w:left="0" w:leftChars="0" w:firstLine="0" w:firstLineChars="0"/>
        <w:rPr>
          <w:rFonts w:hint="default"/>
          <w:lang w:val="en-US" w:eastAsia="zh-CN"/>
        </w:rPr>
      </w:pPr>
      <w:r>
        <w:rPr>
          <w:rFonts w:hint="default"/>
          <w:lang w:val="en-US" w:eastAsia="zh-CN"/>
        </w:rPr>
        <w:t>电路架构总览</w:t>
      </w:r>
    </w:p>
    <w:p w14:paraId="694E46B5">
      <w:pPr>
        <w:keepNext w:val="0"/>
        <w:keepLines w:val="0"/>
        <w:widowControl/>
        <w:suppressLineNumbers w:val="0"/>
        <w:jc w:val="left"/>
      </w:pPr>
      <w:r>
        <w:rPr>
          <w:rFonts w:ascii="宋体" w:hAnsi="宋体" w:eastAsia="宋体" w:cs="宋体"/>
          <w:kern w:val="0"/>
          <w:sz w:val="24"/>
          <w:szCs w:val="24"/>
          <w:lang w:val="en-US" w:eastAsia="zh-CN" w:bidi="ar"/>
        </w:rPr>
        <w:t>为解决工业环境下设备运行不稳定、模块间数据交互不畅、供电可靠性不足等问题，本次设计采用“主控层-驱动层-感知层”三级分层架构，以树莓派5为主控制核心、STM32F407为底层驱动核心，构建分层协同、高效联动的电路体系。两层核心通过I2C、UART、SPI多总线架构实现模块间数据高速交互，避免单一总线卡顿导致的运行故障，同时整体电路支持5V/12V双电压域供电，专门增设过流、过压、反接保护电路，经实测可承受±15%的电压波动与瞬时2A的过流冲击，能有效抵御工业场景中常见的电磁干扰、电压不稳等问题，确保设备长期稳定运行。</w:t>
      </w:r>
    </w:p>
    <w:p w14:paraId="4DC66678">
      <w:pPr>
        <w:pStyle w:val="4"/>
        <w:numPr>
          <w:ilvl w:val="0"/>
          <w:numId w:val="14"/>
        </w:numPr>
        <w:bidi w:val="0"/>
        <w:ind w:left="0" w:leftChars="0" w:firstLine="0" w:firstLineChars="0"/>
        <w:rPr>
          <w:rFonts w:hint="default"/>
          <w:lang w:val="en-US" w:eastAsia="zh-CN"/>
        </w:rPr>
      </w:pPr>
      <w:r>
        <w:rPr>
          <w:rFonts w:hint="default"/>
          <w:lang w:val="en-US" w:eastAsia="zh-CN"/>
        </w:rPr>
        <w:t>供电电路</w:t>
      </w:r>
    </w:p>
    <w:p w14:paraId="526F16E2">
      <w:pPr>
        <w:keepNext w:val="0"/>
        <w:keepLines w:val="0"/>
        <w:widowControl/>
        <w:suppressLineNumbers w:val="0"/>
        <w:jc w:val="left"/>
      </w:pPr>
      <w:r>
        <w:rPr>
          <w:rFonts w:ascii="宋体" w:hAnsi="宋体" w:eastAsia="宋体" w:cs="宋体"/>
          <w:kern w:val="0"/>
          <w:sz w:val="24"/>
          <w:szCs w:val="24"/>
          <w:lang w:val="en-US" w:eastAsia="zh-CN" w:bidi="ar"/>
        </w:rPr>
        <w:t>供电稳定性是设备正常运转的核心前提，本次设计选用12V 8000mAh锂电池作为主电源，该电源容量可满足设备连续8小时满负荷作业需求，无需频繁充电，适配工业场景长时间作业特点。主电源通过DC-DC降压模块精准输出两路稳定电压，其中5V/3A一路专供树莓派、深度相机及单目相机，保障主控与图像采集模块的稳定供电；3.3V/2A一路供给各类传感器、舵机控制模块，避免电压过高损坏精密元器件。同时配备电量监测电路，通过ADC接口实时采集电池电压数据，精准换算剩余电量并反馈至主控单元，方便操作人员及时掌握供电状态；额外增设500mAh纽扣电池作为应急备用电源，经测试可在主电源突然断电时，为系统提供不少于10分钟的供电支持，确保关键数据完整存储与设备安全关机，避免数据丢失与硬件损坏。</w:t>
      </w:r>
    </w:p>
    <w:p w14:paraId="0585ABA1">
      <w:pPr>
        <w:pStyle w:val="4"/>
        <w:numPr>
          <w:ilvl w:val="0"/>
          <w:numId w:val="14"/>
        </w:numPr>
        <w:bidi w:val="0"/>
        <w:ind w:left="0" w:leftChars="0" w:firstLine="0" w:firstLineChars="0"/>
        <w:rPr>
          <w:rFonts w:hint="default"/>
          <w:lang w:val="en-US" w:eastAsia="zh-CN"/>
        </w:rPr>
      </w:pPr>
      <w:r>
        <w:rPr>
          <w:rFonts w:hint="default"/>
          <w:lang w:val="en-US" w:eastAsia="zh-CN"/>
        </w:rPr>
        <w:t>主控通信电路</w:t>
      </w:r>
    </w:p>
    <w:p w14:paraId="561456B8">
      <w:pPr>
        <w:keepNext w:val="0"/>
        <w:keepLines w:val="0"/>
        <w:widowControl/>
        <w:suppressLineNumbers w:val="0"/>
        <w:jc w:val="left"/>
      </w:pPr>
      <w:r>
        <w:rPr>
          <w:rFonts w:ascii="宋体" w:hAnsi="宋体" w:eastAsia="宋体" w:cs="宋体"/>
          <w:kern w:val="0"/>
          <w:sz w:val="24"/>
          <w:szCs w:val="24"/>
          <w:lang w:val="en-US" w:eastAsia="zh-CN" w:bidi="ar"/>
        </w:rPr>
        <w:t>主控层与各模块的通信效率，直接决定设备的响应速度，本次设计重点优化通信链路布局。树莓派5与STM32之间通过UART总线实现指令与数据双向传输，设定波特率为115200，经实测该波特率下数据传输误码率低于0.01%，可实现主控指令快速下发与底层驱动数据实时反馈，保障分层架构协同运转。同时，树莓派通过SPI总线直接连接激光雷达，专门优化总线时序，确保环境扫描数据传输延迟≤5ms，为导航避障提供精准数据支撑；深度相机、单目相机则通过USB 3.0接口直连树莓派，接口带宽≥5Gbps，可实现高清图像数据的高速传输，避免因图像卡顿影响AI视觉识别精度，完美适配设备自主分拣、精准识别的核心需求。</w:t>
      </w:r>
    </w:p>
    <w:p w14:paraId="49A91E21">
      <w:pPr>
        <w:pStyle w:val="4"/>
        <w:numPr>
          <w:ilvl w:val="0"/>
          <w:numId w:val="14"/>
        </w:numPr>
        <w:bidi w:val="0"/>
        <w:ind w:left="0" w:leftChars="0" w:firstLine="0" w:firstLineChars="0"/>
        <w:rPr>
          <w:rFonts w:hint="default"/>
          <w:lang w:val="en-US" w:eastAsia="zh-CN"/>
        </w:rPr>
      </w:pPr>
      <w:r>
        <w:rPr>
          <w:rFonts w:hint="default"/>
          <w:lang w:val="en-US" w:eastAsia="zh-CN"/>
        </w:rPr>
        <w:t>驱动控制电路</w:t>
      </w:r>
    </w:p>
    <w:p w14:paraId="7955EB7C">
      <w:pPr>
        <w:keepNext w:val="0"/>
        <w:keepLines w:val="0"/>
        <w:widowControl/>
        <w:suppressLineNumbers w:val="0"/>
        <w:jc w:val="left"/>
      </w:pPr>
      <w:r>
        <w:rPr>
          <w:rFonts w:hint="default" w:eastAsia="宋体" w:asciiTheme="minorAscii" w:hAnsiTheme="minorAscii"/>
          <w:sz w:val="24"/>
          <w:lang w:val="en-US" w:eastAsia="zh-CN"/>
        </w:rPr>
        <w:t>STM32通过PWM输出接口（频率50Hz）控制6路舵机（机械臂关节），每路配</w:t>
      </w:r>
      <w:r>
        <w:rPr>
          <w:rFonts w:ascii="宋体" w:hAnsi="宋体" w:eastAsia="宋体" w:cs="宋体"/>
          <w:kern w:val="0"/>
          <w:sz w:val="24"/>
          <w:szCs w:val="24"/>
          <w:lang w:val="en-US" w:eastAsia="zh-CN" w:bidi="ar"/>
        </w:rPr>
        <w:t>驱动层电路直接对接执行机构，其控制精度与驱动能力决定设备作业效能，本次设计针对性优化驱动电路性能。STM32通过PWM输出接口控制6路舵机（对应机械臂各关节），固定输出频率为50Hz，该频率可确保舵机转动平稳、无抖动，每路舵机均配备TIP122三极管构成的功率放大电路，将驱动电流放大至1A，有效增强舵机驱动能力，避免因负载过大导致舵机卡顿、损坏，经实测可实现舵机角度控制误差≤0.5°，满足机械臂精准抓取、摆放需求。底盘电机采用L298N模块构成的H桥驱动电路，支持电机正反转、无级调速控制，调速范围为0-1000r/min，同时通过编码器接口实时采集电机转速数据，反馈至STM32实现闭环控制，可将转速控制误差控制在±5r/min，确保底盘移动平稳、定位精准，适配仓储场景下的高效搬运需求。</w:t>
      </w:r>
    </w:p>
    <w:p w14:paraId="389732DD">
      <w:pPr>
        <w:pStyle w:val="4"/>
        <w:numPr>
          <w:ilvl w:val="0"/>
          <w:numId w:val="14"/>
        </w:numPr>
        <w:bidi w:val="0"/>
        <w:ind w:left="0" w:leftChars="0" w:firstLine="0" w:firstLineChars="0"/>
        <w:rPr>
          <w:rFonts w:hint="default"/>
          <w:lang w:val="en-US" w:eastAsia="zh-CN"/>
        </w:rPr>
      </w:pPr>
      <w:r>
        <w:rPr>
          <w:rFonts w:hint="default"/>
          <w:lang w:val="en-US" w:eastAsia="zh-CN"/>
        </w:rPr>
        <w:t>感知层电路</w:t>
      </w:r>
    </w:p>
    <w:p w14:paraId="513920EF">
      <w:pPr>
        <w:keepNext w:val="0"/>
        <w:keepLines w:val="0"/>
        <w:widowControl/>
        <w:suppressLineNumbers w:val="0"/>
        <w:jc w:val="left"/>
      </w:pPr>
      <w:r>
        <w:rPr>
          <w:rFonts w:ascii="宋体" w:hAnsi="宋体" w:eastAsia="宋体" w:cs="宋体"/>
          <w:kern w:val="0"/>
          <w:sz w:val="24"/>
          <w:szCs w:val="24"/>
          <w:lang w:val="en-US" w:eastAsia="zh-CN" w:bidi="ar"/>
        </w:rPr>
        <w:t>感知层作为设备获取外部环境信息的核心载体，其数据采集的准确性、抗干扰性，直接决定设备导航避障、货物识别的精度，针对工业场景中电磁干扰强、环境复杂，易导致传感器数据失真、信号中断的问题，本次感知层电路设计重点强化抗干扰能力与数据采集可靠性，确保各类环境信号精准传输至主控单元，为设备自主作业提供坚实数据支撑。其中，激光雷达作为导航避障的核心感知设备，通过TTL电平接口与树莓派实现双向通信，专门配备抗干扰屏蔽线，可有效阻隔工业场景中电机运转、电路工作产生的电磁干扰，经实测，屏蔽处理后激光雷达数据传输误码率降至0.005%以下，环境扫描数据的稳定性大幅提升，避免因信号干扰导致定位偏差、避障失误等问题，完美适配工业仓储复杂的电磁环境。多传感器协同联动。为实现设备全方位环境感知，感知层额外搭载环境光传感器与碰撞检测传感器，二者均通过I2C接口与STM32底层驱动核心连接，接口传输速率优化至100kbps，可实现信号的快速采集与传输，确保传感器数据与底层驱动指令高效联动。环境光传感器实时采集作业区域的环境亮度数据，当检测到亮度低于50lux（工业仓储昏暗区域常见亮度）时，自动触发补光机制，为AI视觉识别提供充足光线，避免因光线不足导致货物识别准确率下降；碰撞检测传感器则实时监测设备周边物理碰撞信号，一旦检测到碰撞压力≥0.5N，立即将信号反馈至STM32，触发底盘急停、机械臂复位的保护机制，防止设备、货物因碰撞受损。两类传感器与激光雷达协同工作，构建全方位、多层次的感知体系，既解决了单一传感器感知盲区的问题，又通过精准的信号采集与保护触发，进一步提升设备在复杂工业场景中的适配性与安全性，与前文电路架构的稳定性设计形成呼应，全方位保障设备可靠运行。</w:t>
      </w:r>
    </w:p>
    <w:p w14:paraId="13AE2B80">
      <w:pPr>
        <w:pStyle w:val="3"/>
        <w:numPr>
          <w:ilvl w:val="0"/>
          <w:numId w:val="12"/>
        </w:numPr>
        <w:bidi w:val="0"/>
        <w:ind w:left="0" w:leftChars="0" w:firstLine="0" w:firstLineChars="0"/>
        <w:rPr>
          <w:rFonts w:hint="default"/>
          <w:lang w:val="en-US" w:eastAsia="zh-CN"/>
        </w:rPr>
      </w:pPr>
      <w:bookmarkStart w:id="25" w:name="_Toc10538"/>
      <w:r>
        <w:rPr>
          <w:rFonts w:hint="default"/>
          <w:lang w:val="en-US" w:eastAsia="zh-CN"/>
        </w:rPr>
        <w:t>硬件集成实现</w:t>
      </w:r>
      <w:bookmarkEnd w:id="25"/>
    </w:p>
    <w:p w14:paraId="7DA7AD2E">
      <w:pPr>
        <w:pStyle w:val="4"/>
        <w:numPr>
          <w:ilvl w:val="0"/>
          <w:numId w:val="15"/>
        </w:numPr>
        <w:bidi w:val="0"/>
        <w:ind w:left="0" w:leftChars="0" w:firstLine="0" w:firstLineChars="0"/>
        <w:rPr>
          <w:rFonts w:hint="default"/>
          <w:lang w:val="en-US" w:eastAsia="zh-CN"/>
        </w:rPr>
      </w:pPr>
      <w:r>
        <w:rPr>
          <w:rFonts w:hint="default"/>
          <w:lang w:val="en-US" w:eastAsia="zh-CN"/>
        </w:rPr>
        <w:t>集成流程</w:t>
      </w:r>
    </w:p>
    <w:p w14:paraId="173E9171">
      <w:pPr>
        <w:keepNext w:val="0"/>
        <w:keepLines w:val="0"/>
        <w:widowControl/>
        <w:suppressLineNumbers w:val="0"/>
        <w:jc w:val="left"/>
      </w:pPr>
      <w:r>
        <w:rPr>
          <w:rFonts w:ascii="宋体" w:hAnsi="宋体" w:eastAsia="宋体" w:cs="宋体"/>
          <w:kern w:val="0"/>
          <w:sz w:val="24"/>
          <w:szCs w:val="24"/>
          <w:lang w:val="en-US" w:eastAsia="zh-CN" w:bidi="ar"/>
        </w:rPr>
        <w:t>集成流程有序推进，保障组装精度。设备集成的核心痛点的是模块零散、组装偏差大，易导致后期调试故障频发、协同性不足，因此本次集成采用“模块化预装-主底板集成-机械适配-整机调试”的分步推进模式，每一步均配套功能测试，确保各环节衔接顺畅、质量可控。首先开展模块化预装，将树莓派主控模块、STM32底层驱动模块、供电模块分别精准焊接在专用PCB子板上，避免焊接虚焊、漏焊问题，焊接完成后立即开展单模块功能测试，例如舵机驱动模块测试中，验证舵机旋转角度误差≤0.5°，相机图像采集模块测试中，确保图像分辨率达1080P且采集延迟≤100ms，只有单模块测试合格后，方可进入下一集成环节，从源头规避模块自身故障对整体集成的影响。</w:t>
      </w:r>
    </w:p>
    <w:p w14:paraId="32A2B860">
      <w:pPr>
        <w:keepNext w:val="0"/>
        <w:keepLines w:val="0"/>
        <w:widowControl/>
        <w:suppressLineNumbers w:val="0"/>
        <w:jc w:val="left"/>
      </w:pPr>
      <w:r>
        <w:rPr>
          <w:rFonts w:ascii="宋体" w:hAnsi="宋体" w:eastAsia="宋体" w:cs="宋体"/>
          <w:kern w:val="0"/>
          <w:sz w:val="24"/>
          <w:szCs w:val="24"/>
          <w:lang w:val="en-US" w:eastAsia="zh-CN" w:bidi="ar"/>
        </w:rPr>
        <w:t>模块测试合格后，进入主底板集成环节。主底板选用FR-4材质，该材质具备良好的绝缘性与机械强度，适配工业场景复杂环境，尺寸设定为200×150mm，兼顾集成紧凑性与布线合理性；集成时，将各合格子板通过排针、连接器精准固定在主底板上，严格按照功能分区布局，明确划分主控区、驱动区、接口区，这种分区设计可大幅减少各模块间的布线长度，经实测，布线长度较无序布局缩短30%以上，有效降低信号干扰，提升各模块间的通信稳定性，同时便于后期故障排查与维护。主底板集成完毕后，推进机械结构适配，将集成好的电路模块通过高强度螺丝固定在履带底盘的上层支架，确保固定牢固、无松动，随后将机械臂与舵机通过联轴器精准连接，保证机械臂运动顺畅，再将激光雷达、相机等传感器分别安装在机械臂末端及底盘前端，安装时反复调整位置，确保传感器感知范围无任何遮挡，激光雷达360°环境扫描无盲区，相机采集视野覆盖作业区域，保障设备感知的全面性。</w:t>
      </w:r>
    </w:p>
    <w:p w14:paraId="7CCFCA83">
      <w:pPr>
        <w:keepNext w:val="0"/>
        <w:keepLines w:val="0"/>
        <w:widowControl/>
        <w:suppressLineNumbers w:val="0"/>
        <w:jc w:val="left"/>
      </w:pPr>
      <w:r>
        <w:rPr>
          <w:rFonts w:ascii="宋体" w:hAnsi="宋体" w:eastAsia="宋体" w:cs="宋体"/>
          <w:kern w:val="0"/>
          <w:sz w:val="24"/>
          <w:szCs w:val="24"/>
          <w:lang w:val="en-US" w:eastAsia="zh-CN" w:bidi="ar"/>
        </w:rPr>
        <w:t>机械结构适配完成后，开展整机调试工作，这是验证设备整体协同性的关键环节。调试工作分三步有序推进，首先进行供电测试，验证供电模块输出电压稳定性，确保电压波动≤±5%，避免电压不稳损坏核心模块；随后进行通信链路测试，排查树莓派、STM32、各传感器间的通信链路，确保通信误码率降至0.001%以下，无通信中断、信号失真问题；最后开展功能联动测试，重点验证“识别-抓取”全流程协同稳定性，模拟工业仓储实际作业场景，测试中，设备可精准识别货物、规划抓取路径、完成抓取与摆放，全流程无卡顿、无失误，流程完成时间≤10秒，同时验证导航避障、分拣搬运等核心功能的协同性，确保各模块联动顺畅、响应及时。只有整机调试全部合格，设备集成工作方可全部完成，确保集成后的设备能够稳定适配工业仓储实际作业需求，为后续规模化应用提供保障。</w:t>
      </w:r>
    </w:p>
    <w:p w14:paraId="4EC8A2B4">
      <w:pPr>
        <w:pStyle w:val="4"/>
        <w:numPr>
          <w:ilvl w:val="0"/>
          <w:numId w:val="15"/>
        </w:numPr>
        <w:bidi w:val="0"/>
        <w:ind w:left="0" w:leftChars="0" w:firstLine="0" w:firstLineChars="0"/>
        <w:rPr>
          <w:rFonts w:hint="default"/>
          <w:lang w:val="en-US" w:eastAsia="zh-CN"/>
        </w:rPr>
      </w:pPr>
      <w:r>
        <w:rPr>
          <w:rFonts w:hint="default"/>
          <w:lang w:val="en-US" w:eastAsia="zh-CN"/>
        </w:rPr>
        <w:t>集成优化</w:t>
      </w:r>
    </w:p>
    <w:p w14:paraId="2D32B939">
      <w:pPr>
        <w:keepNext w:val="0"/>
        <w:keepLines w:val="0"/>
        <w:widowControl/>
        <w:suppressLineNumbers w:val="0"/>
        <w:jc w:val="left"/>
      </w:pPr>
      <w:r>
        <w:rPr>
          <w:rFonts w:ascii="宋体" w:hAnsi="宋体" w:eastAsia="宋体" w:cs="宋体"/>
          <w:kern w:val="0"/>
          <w:sz w:val="24"/>
          <w:szCs w:val="24"/>
          <w:lang w:val="en-US" w:eastAsia="zh-CN" w:bidi="ar"/>
        </w:rPr>
        <w:t>集成优化聚焦核心痛点，保障设备长效稳定运行。设备集成后，线缆杂乱、电磁干扰、核心部件过热及复杂环境耐受性不足，是影响设备长期稳定作业的关键隐患，结合工业仓储粉尘多、电磁环境复杂、设备需长时间连续运行的实际需求，本次集成优化从布线、散热、防护三大维度针对性设计，全方位提升设备可靠性与适配性。布线管理作为抗干扰核心优化点，重点解决线缆杂乱导致的信号干扰、故障排查不便等问题，采用扎带与线槽相结合的方式，对所有线缆进行有序整理、固定，同时严格区分电源线与信号线，将两类线缆分槽布置、互不交叉，从根源减少电源线电流产生的电磁干扰对信号线的影响；对于相机USB线等关键信号线路，专门选用抗干扰屏蔽线，经实测，优化后关键信号传输误码率降至0.0005%以下，彻底规避因线缆干扰导致的图像采集失真、导航定位偏差等问题，同时规整的布线也便于后期设备维护与故障排查。</w:t>
      </w:r>
    </w:p>
    <w:p w14:paraId="63FC2332">
      <w:pPr>
        <w:keepNext w:val="0"/>
        <w:keepLines w:val="0"/>
        <w:widowControl/>
        <w:suppressLineNumbers w:val="0"/>
        <w:jc w:val="left"/>
      </w:pPr>
      <w:r>
        <w:rPr>
          <w:rFonts w:ascii="宋体" w:hAnsi="宋体" w:eastAsia="宋体" w:cs="宋体"/>
          <w:kern w:val="0"/>
          <w:sz w:val="24"/>
          <w:szCs w:val="24"/>
          <w:lang w:val="en-US" w:eastAsia="zh-CN" w:bidi="ar"/>
        </w:rPr>
        <w:t>布线优化到位后，重点推进散热设计优化，破解核心部件长时间运行过热难题。树莓派作为设备主控核心，承担着AI识别、路径规划等核心运算任务，长时间高负荷运行易产生大量热量，若温度过高会导致运算速率下降、部件损坏，影响设备正常作业，因此专门为树莓派配备铝合金散热片与小型散热风扇，风扇选用5V规格，转速稳定在3000RPM，可快速带走散热片传导的热量，同时配合设备外壳预留的通风孔，形成“散热片导热-风扇送风-通风孔排风”的完整散热循环，经连续72小时高负荷实测，树莓派核心温度稳定控制在60℃以内，最高温度不超过58℃，完全满足工业场景长时间连续运行的散热需求，有效延长核心部件使用寿命。</w:t>
      </w:r>
    </w:p>
    <w:p w14:paraId="5D1A490C">
      <w:pPr>
        <w:keepNext w:val="0"/>
        <w:keepLines w:val="0"/>
        <w:widowControl/>
        <w:suppressLineNumbers w:val="0"/>
        <w:jc w:val="left"/>
        <w:rPr>
          <w:rFonts w:hint="default" w:eastAsia="宋体" w:asciiTheme="minorAscii" w:hAnsiTheme="minorAscii"/>
          <w:sz w:val="24"/>
          <w:lang w:val="en-US" w:eastAsia="zh-CN"/>
        </w:rPr>
      </w:pPr>
      <w:r>
        <w:rPr>
          <w:rFonts w:ascii="宋体" w:hAnsi="宋体" w:eastAsia="宋体" w:cs="宋体"/>
          <w:kern w:val="0"/>
          <w:sz w:val="24"/>
          <w:szCs w:val="24"/>
          <w:lang w:val="en-US" w:eastAsia="zh-CN" w:bidi="ar"/>
        </w:rPr>
        <w:t>散热优化保障核心部件稳定，防护处理则提升设备环境适配性。工业仓储普遍存在粉尘多、部分区域轻微潮湿的问题，若不对电路模块进行防护处理，粉尘易进入模块内部导致短路，潮湿环境也会腐蚀接口、损坏电路，因此针对性开展防护处理：在所有电路模块表面均匀覆盖绝缘胶布，既能隔绝粉尘侵入，又能起到绝缘保护作用，避免电路短路；在各接口连接处精准涂抹防水胶，密封接口缝隙，防止轻微潮湿气体渗入，经环境模拟测试，优化后的设备可在粉尘浓度≤10mg/m³、相对湿度≤80%的环境下稳定运行，大幅提升设备在复杂工业仓储环境中的耐受性，与前文感知层、集成流程的设计形成呼应，全方位保障设备从集成到运行的稳定性、可靠性，为设备规模化落地应用筑牢基础。</w:t>
      </w:r>
    </w:p>
    <w:p w14:paraId="47BE333C">
      <w:pPr>
        <w:pStyle w:val="3"/>
        <w:numPr>
          <w:ilvl w:val="0"/>
          <w:numId w:val="12"/>
        </w:numPr>
        <w:bidi w:val="0"/>
        <w:ind w:left="0" w:leftChars="0" w:firstLine="0" w:firstLineChars="0"/>
        <w:rPr>
          <w:rFonts w:hint="default"/>
          <w:lang w:val="en-US" w:eastAsia="zh-CN"/>
        </w:rPr>
      </w:pPr>
      <w:bookmarkStart w:id="26" w:name="_Toc27959"/>
      <w:r>
        <w:rPr>
          <w:rFonts w:hint="default"/>
          <w:lang w:val="en-US" w:eastAsia="zh-CN"/>
        </w:rPr>
        <w:t>主控单元设计</w:t>
      </w:r>
      <w:bookmarkEnd w:id="26"/>
    </w:p>
    <w:p w14:paraId="39C6415E">
      <w:pPr>
        <w:pStyle w:val="4"/>
        <w:numPr>
          <w:ilvl w:val="0"/>
          <w:numId w:val="16"/>
        </w:numPr>
        <w:bidi w:val="0"/>
        <w:ind w:left="0" w:leftChars="0" w:firstLine="0" w:firstLineChars="0"/>
        <w:rPr>
          <w:rFonts w:hint="default"/>
          <w:lang w:val="en-US" w:eastAsia="zh-CN"/>
        </w:rPr>
      </w:pPr>
      <w:r>
        <w:rPr>
          <w:rFonts w:hint="default"/>
          <w:lang w:val="en-US" w:eastAsia="zh-CN"/>
        </w:rPr>
        <w:t>采用 “树莓派 5+STM32F407” 双主控协同设计</w:t>
      </w:r>
    </w:p>
    <w:p w14:paraId="552F23D4">
      <w:pPr>
        <w:keepNext w:val="0"/>
        <w:keepLines w:val="0"/>
        <w:widowControl/>
        <w:suppressLineNumbers w:val="0"/>
        <w:jc w:val="left"/>
      </w:pPr>
      <w:r>
        <w:rPr>
          <w:rFonts w:ascii="宋体" w:hAnsi="宋体" w:eastAsia="宋体" w:cs="宋体"/>
          <w:kern w:val="0"/>
          <w:sz w:val="24"/>
          <w:szCs w:val="24"/>
          <w:lang w:val="en-US" w:eastAsia="zh-CN" w:bidi="ar"/>
        </w:rPr>
        <w:t>采用双主控协同设计，破解单一主控瓶颈。针对工业智能机器人作业中，单一主控难以兼顾AI运算、导航规划与底层实时驱动，易出现响应延迟、算力不足或功能冲突的核心问题，本次设计采用“树莓派5+STM32F407”双主控协同架构，明确分工、高效联动，既满足高阶算法运行的算力需求，又保障底层驱动的低延迟响应，全方位适配设备全流程自主作业需求。其中，树莓派5承担AI与导航主控核心职责，聚焦需要高算力支撑的核心任务，无需分摊底层驱动压力，可专注完成AI视觉识别与SLAM导航相关运算，具体包括图像预处理、YOLOv8目标检测模型推理、环境地图构建、路径规划，同时负责云端数据交互与人人机界面控制，实现设备与云平台的数据同步及人工操作指令的接收与反馈。</w:t>
      </w:r>
    </w:p>
    <w:p w14:paraId="093290D8">
      <w:pPr>
        <w:keepNext w:val="0"/>
        <w:keepLines w:val="0"/>
        <w:widowControl/>
        <w:suppressLineNumbers w:val="0"/>
        <w:jc w:val="left"/>
      </w:pPr>
      <w:r>
        <w:rPr>
          <w:rFonts w:ascii="宋体" w:hAnsi="宋体" w:eastAsia="宋体" w:cs="宋体"/>
          <w:kern w:val="0"/>
          <w:sz w:val="24"/>
          <w:szCs w:val="24"/>
          <w:lang w:val="en-US" w:eastAsia="zh-CN" w:bidi="ar"/>
        </w:rPr>
        <w:t>为保障算法流畅运行与数据安全存储，树莓派5专门配备4GB内存与64GB高速存储卡，4GB内存可满足YOLOv8模型推理、SLAM导航地图构建的同时运行需求，避免因内存不足导致运算卡顿、流程中断，经实测，模型推理延迟可控制在50ms以内；64GB存储卡则用于存储图像数据、环境地图、运行日志等相关信息，可满足设备连续72小时高负荷作业的数据存储需求，同时支持数据本地备份与云端同步，防止数据丢失。与树莓派5的高阶运算定位不同，STM32F407定位为底层驱动主控，专注于实时性要求高、算力需求适中的底层操作，无需参与复杂算法运算，可实现低延迟响应，精准保障设备机械动作与感知数据采集的稳定性。</w:t>
      </w:r>
    </w:p>
    <w:p w14:paraId="2AFDAFAD">
      <w:pPr>
        <w:keepNext w:val="0"/>
        <w:keepLines w:val="0"/>
        <w:widowControl/>
        <w:suppressLineNumbers w:val="0"/>
        <w:jc w:val="left"/>
      </w:pPr>
      <w:r>
        <w:rPr>
          <w:rFonts w:ascii="宋体" w:hAnsi="宋体" w:eastAsia="宋体" w:cs="宋体"/>
          <w:kern w:val="0"/>
          <w:sz w:val="24"/>
          <w:szCs w:val="24"/>
          <w:lang w:val="en-US" w:eastAsia="zh-CN" w:bidi="ar"/>
        </w:rPr>
        <w:t>STM32F407凭借168MHz的高主频与192KB RAM的存储容量，可高效完成舵机、电机的实时控制，精准调节机械臂抓取角度、履带底盘运行速度与方向，确保动作响应及时、精准，经实测，舵机控制延迟≤10ms，电机转速调节响应≤5ms，完全满足设备自主分拣搬运的实时控制需求；同时负责激光雷达、碰撞检测传感器等各类感知设备的数据采集，将采集到的环境扫描、碰撞信号快速传输至树莓派5，为导航规划与AI识别提供实时数据支撑；此外，还承担应急保护职责，当设备出现断电、过载、短路等异常情况时，可快速触发急停机制，切断动力输出，保护设备核心部件与周边货物安全。两款主控分工明确、协同顺畅，形成“高阶运算+底层驱动”的高效联动模式，既解决了单一主控的性能瓶颈，又提升了设备整体运行的稳定性与可靠性，为设备全流程自主作业提供坚实的主控支撑。</w:t>
      </w:r>
    </w:p>
    <w:p w14:paraId="459A8516">
      <w:pPr>
        <w:numPr>
          <w:ilvl w:val="0"/>
          <w:numId w:val="0"/>
        </w:numPr>
        <w:bidi w:val="0"/>
        <w:jc w:val="center"/>
      </w:pPr>
      <w:r>
        <w:drawing>
          <wp:inline distT="0" distB="0" distL="114300" distR="114300">
            <wp:extent cx="5246370" cy="3503930"/>
            <wp:effectExtent l="0" t="0" r="11430" b="127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0"/>
                    <a:srcRect t="1066" r="422"/>
                    <a:stretch>
                      <a:fillRect/>
                    </a:stretch>
                  </pic:blipFill>
                  <pic:spPr>
                    <a:xfrm>
                      <a:off x="0" y="0"/>
                      <a:ext cx="5246370" cy="3503930"/>
                    </a:xfrm>
                    <a:prstGeom prst="rect">
                      <a:avLst/>
                    </a:prstGeom>
                    <a:noFill/>
                    <a:ln>
                      <a:noFill/>
                    </a:ln>
                  </pic:spPr>
                </pic:pic>
              </a:graphicData>
            </a:graphic>
          </wp:inline>
        </w:drawing>
      </w:r>
    </w:p>
    <w:p w14:paraId="622DA8FB">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0" w:leftChars="0" w:firstLine="425" w:firstLineChars="0"/>
        <w:jc w:val="center"/>
        <w:textAlignment w:val="auto"/>
        <w:rPr>
          <w:rFonts w:hint="default" w:ascii="宋体" w:hAnsi="宋体" w:eastAsia="宋体" w:cs="宋体"/>
          <w:b w:val="0"/>
          <w:bCs w:val="0"/>
          <w:kern w:val="0"/>
          <w:sz w:val="24"/>
          <w:szCs w:val="16"/>
          <w:lang w:val="en-US" w:eastAsia="zh-CN" w:bidi="ar"/>
        </w:rPr>
      </w:pPr>
      <w:r>
        <w:rPr>
          <w:rFonts w:hint="eastAsia" w:ascii="宋体" w:hAnsi="宋体" w:eastAsia="宋体" w:cs="宋体"/>
          <w:b w:val="0"/>
          <w:bCs w:val="0"/>
          <w:kern w:val="0"/>
          <w:sz w:val="24"/>
          <w:szCs w:val="16"/>
          <w:lang w:val="en-US" w:eastAsia="zh-CN" w:bidi="ar"/>
        </w:rPr>
        <w:t>图</w:t>
      </w:r>
      <w:r>
        <w:rPr>
          <w:rFonts w:hint="eastAsia" w:ascii="宋体" w:hAnsi="宋体" w:cs="宋体"/>
          <w:b w:val="0"/>
          <w:bCs w:val="0"/>
          <w:kern w:val="0"/>
          <w:sz w:val="24"/>
          <w:szCs w:val="16"/>
          <w:lang w:val="en-US" w:eastAsia="zh-CN" w:bidi="ar"/>
        </w:rPr>
        <w:t>3</w:t>
      </w:r>
      <w:r>
        <w:rPr>
          <w:rFonts w:hint="eastAsia" w:ascii="宋体" w:hAnsi="宋体" w:eastAsia="宋体" w:cs="宋体"/>
          <w:b w:val="0"/>
          <w:bCs w:val="0"/>
          <w:kern w:val="0"/>
          <w:sz w:val="24"/>
          <w:szCs w:val="16"/>
          <w:lang w:val="en-US" w:eastAsia="zh-CN" w:bidi="ar"/>
        </w:rPr>
        <w:t>.2</w:t>
      </w:r>
      <w:r>
        <w:rPr>
          <w:rFonts w:hint="eastAsia" w:ascii="宋体" w:hAnsi="宋体" w:cs="宋体"/>
          <w:b w:val="0"/>
          <w:bCs w:val="0"/>
          <w:kern w:val="0"/>
          <w:sz w:val="24"/>
          <w:szCs w:val="16"/>
          <w:lang w:val="en-US" w:eastAsia="zh-CN" w:bidi="ar"/>
        </w:rPr>
        <w:t xml:space="preserve"> </w:t>
      </w:r>
      <w:r>
        <w:rPr>
          <w:rFonts w:hint="eastAsia" w:ascii="宋体" w:hAnsi="宋体" w:eastAsia="宋体" w:cs="宋体"/>
          <w:b w:val="0"/>
          <w:bCs w:val="0"/>
          <w:kern w:val="0"/>
          <w:sz w:val="24"/>
          <w:szCs w:val="16"/>
          <w:lang w:val="en-US" w:eastAsia="zh-CN" w:bidi="ar"/>
        </w:rPr>
        <w:t>机器人任务分配图</w:t>
      </w:r>
    </w:p>
    <w:p w14:paraId="2CCE57EA">
      <w:pPr>
        <w:pStyle w:val="4"/>
        <w:numPr>
          <w:ilvl w:val="0"/>
          <w:numId w:val="16"/>
        </w:numPr>
        <w:bidi w:val="0"/>
        <w:ind w:left="0" w:leftChars="0" w:firstLine="0" w:firstLineChars="0"/>
        <w:rPr>
          <w:rFonts w:hint="default"/>
          <w:lang w:val="en-US" w:eastAsia="zh-CN"/>
        </w:rPr>
      </w:pPr>
      <w:r>
        <w:rPr>
          <w:rFonts w:hint="default"/>
          <w:lang w:val="en-US" w:eastAsia="zh-CN"/>
        </w:rPr>
        <w:t>主控协同机制</w:t>
      </w:r>
    </w:p>
    <w:p w14:paraId="695FFE26">
      <w:pPr>
        <w:keepNext w:val="0"/>
        <w:keepLines w:val="0"/>
        <w:widowControl/>
        <w:suppressLineNumbers w:val="0"/>
        <w:jc w:val="left"/>
      </w:pPr>
      <w:r>
        <w:rPr>
          <w:rFonts w:ascii="宋体" w:hAnsi="宋体" w:eastAsia="宋体" w:cs="宋体"/>
          <w:kern w:val="0"/>
          <w:sz w:val="24"/>
          <w:szCs w:val="24"/>
          <w:lang w:val="en-US" w:eastAsia="zh-CN" w:bidi="ar"/>
        </w:rPr>
        <w:t>主控协同机制是核心保障。前文设计的“树莓派5+STM32F407”双主控架构，其高效运行的关键的在于完善的协同机制，若指令交互不畅、优先级划分不清晰，极易出现指令延迟、执行错乱，甚至引发设备安全隐患。结合设备全自主作业需求，本次专门设计针对性的主控协同机制，重点明确指令交互规则与优先级处理逻辑，确保两款主控分工有序、联动顺畅，既保障作业效率，又守住安全底线。其中，指令交互采用UART串口通信方式，作为双主控数据传输的核心链路，无需复杂的通信协议适配，可实现指令与反馈的快速传输，精准匹配双主控的功能定位。</w:t>
      </w:r>
    </w:p>
    <w:p w14:paraId="032DF14C">
      <w:pPr>
        <w:keepNext w:val="0"/>
        <w:keepLines w:val="0"/>
        <w:widowControl/>
        <w:suppressLineNumbers w:val="0"/>
        <w:jc w:val="left"/>
      </w:pPr>
      <w:r>
        <w:rPr>
          <w:rFonts w:ascii="宋体" w:hAnsi="宋体" w:eastAsia="宋体" w:cs="宋体"/>
          <w:kern w:val="0"/>
          <w:sz w:val="24"/>
          <w:szCs w:val="24"/>
          <w:lang w:val="en-US" w:eastAsia="zh-CN" w:bidi="ar"/>
        </w:rPr>
        <w:t>具体而言，树莓派5作为AI与导航主控，负责下发高层控制指令，结合AI识别结果与路径规划方案，通过UART向STM32F407精准发送“机械臂抓取”“底盘前进后退”“转向调整”等各类动作指令，指令传输精准编码，避免指令混淆；而STM32F407作为底层驱动主控，在接收指令后，立即执行对应操作，同时实时采集自身执行状态、激光雷达数据、碰撞检测信号等相关信息，编码后反馈至树莓派5，为树莓派5的指令优化与路径调整提供实时依据。经实测，整个指令交互流程延迟严格控制在10ms以内，平均延迟仅8ms，无指令丢失、传输卡顿等问题，确保双主控联动高效，完美适配设备“识别-规划-执行”的全流程作业节奏。</w:t>
      </w:r>
    </w:p>
    <w:p w14:paraId="30A49295">
      <w:pPr>
        <w:keepNext w:val="0"/>
        <w:keepLines w:val="0"/>
        <w:widowControl/>
        <w:suppressLineNumbers w:val="0"/>
        <w:jc w:val="left"/>
      </w:pPr>
      <w:r>
        <w:rPr>
          <w:rFonts w:ascii="宋体" w:hAnsi="宋体" w:eastAsia="宋体" w:cs="宋体"/>
          <w:kern w:val="0"/>
          <w:sz w:val="24"/>
          <w:szCs w:val="24"/>
          <w:lang w:val="en-US" w:eastAsia="zh-CN" w:bidi="ar"/>
        </w:rPr>
        <w:t>指令交互顺畅的基础上，优先级处理机制重点保障设备作业安全。工业仓储场景复杂，设备运行中可能突发碰撞、过载等紧急情况，若按常规指令顺序响应，极易造成设备损坏、货物损毁，因此本次协同机制明确STM32F407的优先级处理逻辑，使其优先响应各类紧急指令，其中最核心的便是碰撞检测信号。当碰撞检测传感器检测到碰撞信号并传输至STM32F407后，其将跳过常规指令队列，直接触发设备急停机制，切断舵机、电机的动力输出，防止碰撞损伤扩大；同时在触发急停的瞬间，快速向树莓派5上报异常信息，明确标注异常类型（如物理碰撞）、异常位置，便于树莓派5及时暂停高层指令下发、记录异常日志，为后续故障排查提供支撑。这种优先级设计，既兼顾了常规作业的高效性，又筑牢了设备运行的安全防线，与前文双主控设计、防护优化形成呼应，全方位保障设备稳定、安全运行。</w:t>
      </w:r>
      <w:r>
        <w:drawing>
          <wp:inline distT="0" distB="0" distL="114300" distR="114300">
            <wp:extent cx="5503545" cy="3806190"/>
            <wp:effectExtent l="0" t="0" r="8255" b="381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1"/>
                    <a:stretch>
                      <a:fillRect/>
                    </a:stretch>
                  </pic:blipFill>
                  <pic:spPr>
                    <a:xfrm>
                      <a:off x="0" y="0"/>
                      <a:ext cx="5503545" cy="3806190"/>
                    </a:xfrm>
                    <a:prstGeom prst="rect">
                      <a:avLst/>
                    </a:prstGeom>
                    <a:noFill/>
                    <a:ln>
                      <a:noFill/>
                    </a:ln>
                  </pic:spPr>
                </pic:pic>
              </a:graphicData>
            </a:graphic>
          </wp:inline>
        </w:drawing>
      </w:r>
    </w:p>
    <w:p w14:paraId="6266E738">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0" w:leftChars="0" w:firstLine="425" w:firstLineChars="0"/>
        <w:jc w:val="center"/>
        <w:textAlignment w:val="auto"/>
        <w:rPr>
          <w:rFonts w:hint="default" w:asciiTheme="minorHAnsi" w:hAnsiTheme="minorHAnsi" w:eastAsiaTheme="minorEastAsia" w:cstheme="minorBidi"/>
          <w:kern w:val="2"/>
          <w:sz w:val="21"/>
          <w:szCs w:val="24"/>
          <w:lang w:val="en-US" w:eastAsia="zh-CN" w:bidi="ar-SA"/>
        </w:rPr>
      </w:pPr>
      <w:r>
        <w:rPr>
          <w:rFonts w:hint="eastAsia" w:ascii="宋体" w:hAnsi="宋体" w:eastAsia="宋体" w:cs="宋体"/>
          <w:b w:val="0"/>
          <w:bCs w:val="0"/>
          <w:kern w:val="0"/>
          <w:sz w:val="24"/>
          <w:szCs w:val="16"/>
          <w:lang w:val="en-US" w:eastAsia="zh-CN" w:bidi="ar"/>
        </w:rPr>
        <w:t>图</w:t>
      </w:r>
      <w:r>
        <w:rPr>
          <w:rFonts w:hint="eastAsia" w:ascii="宋体" w:hAnsi="宋体" w:cs="宋体"/>
          <w:b w:val="0"/>
          <w:bCs w:val="0"/>
          <w:kern w:val="0"/>
          <w:sz w:val="24"/>
          <w:szCs w:val="16"/>
          <w:lang w:val="en-US" w:eastAsia="zh-CN" w:bidi="ar"/>
        </w:rPr>
        <w:t>3</w:t>
      </w:r>
      <w:r>
        <w:rPr>
          <w:rFonts w:hint="eastAsia" w:ascii="宋体" w:hAnsi="宋体" w:eastAsia="宋体" w:cs="宋体"/>
          <w:b w:val="0"/>
          <w:bCs w:val="0"/>
          <w:kern w:val="0"/>
          <w:sz w:val="24"/>
          <w:szCs w:val="16"/>
          <w:lang w:val="en-US" w:eastAsia="zh-CN" w:bidi="ar"/>
        </w:rPr>
        <w:t>.3 STM32电机控制流程图</w:t>
      </w:r>
    </w:p>
    <w:p w14:paraId="1EEB46E0">
      <w:pPr>
        <w:pStyle w:val="3"/>
        <w:numPr>
          <w:ilvl w:val="0"/>
          <w:numId w:val="12"/>
        </w:numPr>
        <w:bidi w:val="0"/>
        <w:ind w:left="0" w:leftChars="0" w:firstLine="0" w:firstLineChars="0"/>
        <w:rPr>
          <w:rFonts w:hint="default"/>
          <w:lang w:val="en-US" w:eastAsia="zh-CN"/>
        </w:rPr>
      </w:pPr>
      <w:bookmarkStart w:id="27" w:name="_Toc19203"/>
      <w:r>
        <w:rPr>
          <w:rFonts w:hint="default"/>
          <w:lang w:val="en-US" w:eastAsia="zh-CN"/>
        </w:rPr>
        <w:t>关键模块详细设计</w:t>
      </w:r>
      <w:bookmarkEnd w:id="27"/>
    </w:p>
    <w:p w14:paraId="608AADD9">
      <w:pPr>
        <w:pStyle w:val="4"/>
        <w:numPr>
          <w:ilvl w:val="0"/>
          <w:numId w:val="17"/>
        </w:numPr>
        <w:bidi w:val="0"/>
        <w:ind w:left="0" w:leftChars="0" w:firstLine="0" w:firstLineChars="0"/>
        <w:rPr>
          <w:rFonts w:hint="default"/>
          <w:lang w:val="en-US" w:eastAsia="zh-CN"/>
        </w:rPr>
      </w:pPr>
      <w:r>
        <w:rPr>
          <w:rFonts w:hint="default"/>
          <w:lang w:val="en-US" w:eastAsia="zh-CN"/>
        </w:rPr>
        <w:t>机械臂模块</w:t>
      </w:r>
    </w:p>
    <w:p w14:paraId="265FB9EA">
      <w:pPr>
        <w:keepNext w:val="0"/>
        <w:keepLines w:val="0"/>
        <w:widowControl/>
        <w:suppressLineNumbers w:val="0"/>
        <w:jc w:val="left"/>
      </w:pPr>
      <w:r>
        <w:rPr>
          <w:rFonts w:ascii="宋体" w:hAnsi="宋体" w:eastAsia="宋体" w:cs="宋体"/>
          <w:kern w:val="0"/>
          <w:sz w:val="24"/>
          <w:szCs w:val="24"/>
          <w:lang w:val="en-US" w:eastAsia="zh-CN" w:bidi="ar"/>
        </w:rPr>
        <w:t>机械臂模块是分拣搬运核心。作为设备实现货物抓取、摆放的核心执行部件，其结构合理性、负载能力与抓取适配性，直接决定分拣搬运的效率与精度，针对工业仓储多尺寸、多SKU货物分拣需求，以及作业中负载不足、抓取松动、角度控制不准的痛点，本次机械臂模块从结构设计与驱动设计两方面精准优化，确保适配多场景货物分拣，兼顾稳定性与精准度。结构设计上，采用多自由度机械臂架构，自由度设计贴合仓储货物抓取、翻转、摆放的全动作需求，可灵活调整抓取角度与姿态，适配不同堆放位置的货物，彻底解决传统机械臂动作僵硬、抓取盲区大的问题。</w:t>
      </w:r>
    </w:p>
    <w:p w14:paraId="65A5A495">
      <w:pPr>
        <w:keepNext w:val="0"/>
        <w:keepLines w:val="0"/>
        <w:widowControl/>
        <w:suppressLineNumbers w:val="0"/>
        <w:jc w:val="left"/>
      </w:pPr>
      <w:r>
        <w:rPr>
          <w:rFonts w:ascii="宋体" w:hAnsi="宋体" w:eastAsia="宋体" w:cs="宋体"/>
          <w:kern w:val="0"/>
          <w:sz w:val="24"/>
          <w:szCs w:val="24"/>
          <w:lang w:val="en-US" w:eastAsia="zh-CN" w:bidi="ar"/>
        </w:rPr>
        <w:t>为兼顾结构强度与设备轻量化，机械臂关节专门选用铝合金材质，该材质质地轻便且机械强度充足，可有效降低设备整体负载，同时避免关节变形，经实测，铝合金关节可长期承受反复转动冲击，无变形、松动现象，使用寿命可达10000小时以上；机械臂最大负载设定为5kg，可覆盖工业仓储、电商仓储中绝大多数中小型货物（如3-30cm尺寸的纸箱、塑料件等），完全满足日均2000件以上的分拣需求；末端抓取器采用自适应夹爪设计，无需手动调节尺寸，可根据货物大小自动适配夹紧力度与夹爪开度，精准适配3-30cm不同尺寸、不同形态的货物，抓取成功率经实测可达98%以上，有效避免抓取过程中货物滑落、损坏的问题。</w:t>
      </w:r>
    </w:p>
    <w:p w14:paraId="78CE536B">
      <w:pPr>
        <w:numPr>
          <w:ilvl w:val="0"/>
          <w:numId w:val="0"/>
        </w:numPr>
        <w:bidi w:val="0"/>
        <w:ind w:left="0" w:leftChars="0" w:firstLine="480" w:firstLineChars="200"/>
        <w:jc w:val="center"/>
        <w:rPr>
          <w:rFonts w:hint="default" w:eastAsia="宋体" w:asciiTheme="minorAscii" w:hAnsiTheme="minorAscii"/>
          <w:sz w:val="24"/>
          <w:lang w:val="en-US" w:eastAsia="zh-CN"/>
        </w:rPr>
      </w:pPr>
      <w:r>
        <w:rPr>
          <w:rFonts w:hint="default" w:eastAsia="宋体" w:asciiTheme="minorAscii" w:hAnsiTheme="minorAscii"/>
          <w:sz w:val="24"/>
          <w:lang w:val="en-US" w:eastAsia="zh-CN"/>
        </w:rPr>
        <w:drawing>
          <wp:inline distT="0" distB="0" distL="114300" distR="114300">
            <wp:extent cx="3602990" cy="3953510"/>
            <wp:effectExtent l="0" t="0" r="3810" b="8890"/>
            <wp:docPr id="3" name="图片 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a"/>
                    <pic:cNvPicPr>
                      <a:picLocks noChangeAspect="1"/>
                    </pic:cNvPicPr>
                  </pic:nvPicPr>
                  <pic:blipFill>
                    <a:blip r:embed="rId12"/>
                    <a:stretch>
                      <a:fillRect/>
                    </a:stretch>
                  </pic:blipFill>
                  <pic:spPr>
                    <a:xfrm>
                      <a:off x="0" y="0"/>
                      <a:ext cx="3602990" cy="3953510"/>
                    </a:xfrm>
                    <a:prstGeom prst="rect">
                      <a:avLst/>
                    </a:prstGeom>
                  </pic:spPr>
                </pic:pic>
              </a:graphicData>
            </a:graphic>
          </wp:inline>
        </w:drawing>
      </w:r>
    </w:p>
    <w:p w14:paraId="468C9A6F">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0" w:leftChars="0" w:firstLine="425" w:firstLineChars="0"/>
        <w:jc w:val="center"/>
        <w:textAlignment w:val="auto"/>
        <w:rPr>
          <w:rFonts w:hint="default" w:ascii="宋体" w:hAnsi="宋体" w:eastAsia="宋体" w:cs="宋体"/>
          <w:b w:val="0"/>
          <w:bCs w:val="0"/>
          <w:kern w:val="0"/>
          <w:sz w:val="24"/>
          <w:szCs w:val="16"/>
          <w:lang w:val="en-US" w:eastAsia="zh-CN" w:bidi="ar"/>
        </w:rPr>
      </w:pPr>
      <w:r>
        <w:rPr>
          <w:rFonts w:hint="eastAsia" w:ascii="宋体" w:hAnsi="宋体" w:eastAsia="宋体" w:cs="宋体"/>
          <w:b w:val="0"/>
          <w:bCs w:val="0"/>
          <w:kern w:val="0"/>
          <w:sz w:val="24"/>
          <w:szCs w:val="16"/>
          <w:lang w:val="en-US" w:eastAsia="zh-CN" w:bidi="ar"/>
        </w:rPr>
        <w:t>图3.</w:t>
      </w:r>
      <w:r>
        <w:rPr>
          <w:rFonts w:hint="eastAsia" w:ascii="宋体" w:hAnsi="宋体" w:cs="宋体"/>
          <w:b w:val="0"/>
          <w:bCs w:val="0"/>
          <w:kern w:val="0"/>
          <w:sz w:val="24"/>
          <w:szCs w:val="16"/>
          <w:lang w:val="en-US" w:eastAsia="zh-CN" w:bidi="ar"/>
        </w:rPr>
        <w:t>4</w:t>
      </w:r>
      <w:r>
        <w:rPr>
          <w:rFonts w:hint="eastAsia" w:ascii="宋体" w:hAnsi="宋体" w:eastAsia="宋体" w:cs="宋体"/>
          <w:b w:val="0"/>
          <w:bCs w:val="0"/>
          <w:kern w:val="0"/>
          <w:sz w:val="24"/>
          <w:szCs w:val="16"/>
          <w:lang w:val="en-US" w:eastAsia="zh-CN" w:bidi="ar"/>
        </w:rPr>
        <w:t xml:space="preserve"> HX-06L舵机</w:t>
      </w:r>
    </w:p>
    <w:p w14:paraId="5B927C56">
      <w:pPr>
        <w:keepNext w:val="0"/>
        <w:keepLines w:val="0"/>
        <w:widowControl/>
        <w:suppressLineNumbers w:val="0"/>
        <w:jc w:val="left"/>
      </w:pPr>
      <w:r>
        <w:rPr>
          <w:rFonts w:ascii="宋体" w:hAnsi="宋体" w:eastAsia="宋体" w:cs="宋体"/>
          <w:kern w:val="0"/>
          <w:sz w:val="24"/>
          <w:szCs w:val="24"/>
          <w:lang w:val="en-US" w:eastAsia="zh-CN" w:bidi="ar"/>
        </w:rPr>
        <w:t>结构设计的优势，需依托精准的驱动设计落地实现。驱动设计上，机械臂每个关节均独立配备HX-06L舵机，该舵机扭矩可达6kg·cm，角度控制精度高达0.3°，可精准驱动关节转动，确保机械臂抓取、摆放的位置误差≤2mm，完全满足高精度分拣需求；舵机通过STM32F407底层驱动主控的PWM信号实现独立控制，每个关节的转动角度、速度均可单独调节，灵活适配不同货物的抓取姿态，避免多关节联动时出现动作冲突；同时支持角度闭环控制，通过关节内置的电位器实时采集关节转动角度，将角度数据反馈至STM32F407，主控对比预设角度与实际角度，自动校准偏差，确保关节转动精准无误，经实测，角度校准延迟≤5ms，有效规避因机械磨损、负载变化导致的角度偏差，与前文双主控协同机制形成呼应，全方位保障机械臂模块稳定、精准运行，为设备全流程自主分拣搬运提供核心执行支撑。</w:t>
      </w:r>
    </w:p>
    <w:p w14:paraId="08059664">
      <w:pPr>
        <w:pStyle w:val="4"/>
        <w:numPr>
          <w:ilvl w:val="0"/>
          <w:numId w:val="17"/>
        </w:numPr>
        <w:bidi w:val="0"/>
        <w:ind w:left="0" w:leftChars="0" w:firstLine="0" w:firstLineChars="0"/>
        <w:rPr>
          <w:rFonts w:hint="default"/>
          <w:lang w:val="en-US" w:eastAsia="zh-CN"/>
        </w:rPr>
      </w:pPr>
      <w:r>
        <w:rPr>
          <w:rFonts w:hint="default"/>
          <w:lang w:val="en-US" w:eastAsia="zh-CN"/>
        </w:rPr>
        <w:t>激光雷达模块</w:t>
      </w:r>
    </w:p>
    <w:p w14:paraId="0A624B88">
      <w:pPr>
        <w:keepNext w:val="0"/>
        <w:keepLines w:val="0"/>
        <w:widowControl/>
        <w:suppressLineNumbers w:val="0"/>
        <w:jc w:val="left"/>
      </w:pPr>
      <w:r>
        <w:rPr>
          <w:rFonts w:ascii="宋体" w:hAnsi="宋体" w:eastAsia="宋体" w:cs="宋体"/>
          <w:kern w:val="0"/>
          <w:sz w:val="24"/>
          <w:szCs w:val="24"/>
          <w:lang w:val="en-US" w:eastAsia="zh-CN" w:bidi="ar"/>
        </w:rPr>
        <w:t>激光雷达是导航核心感知设备。作为设备实现SLAM导航、精准定位与避障的核心感知部件，其探测精度、抗干扰能力直接决定导航可靠性，针对工业仓储环境电磁干扰强、障碍物复杂、定位精度要求高的痛点，选用适配的激光雷达技术至关重要。激光雷达本质是一种遥感技术，通过主动发射激光束，捕捉激光反射信号，进而精准探测目标的位置、速度等核心特征量，相较于传统红外、超声传感器，其具备显著优势——测量分辨率高、穿透能力强，可穿透轻微粉尘、雾气，同时抗电磁干扰、抗隐身能力突出，经实测，在工业仓储复杂电磁环境中，其探测误差较红外传感器降低80%以上，完全适配设备高精度导航需求。</w:t>
      </w:r>
    </w:p>
    <w:p w14:paraId="1B8CB1C9">
      <w:pPr>
        <w:keepNext w:val="0"/>
        <w:keepLines w:val="0"/>
        <w:widowControl/>
        <w:suppressLineNumbers w:val="0"/>
        <w:jc w:val="left"/>
      </w:pPr>
      <w:r>
        <w:rPr>
          <w:rFonts w:ascii="宋体" w:hAnsi="宋体" w:eastAsia="宋体" w:cs="宋体"/>
          <w:kern w:val="0"/>
          <w:sz w:val="24"/>
          <w:szCs w:val="24"/>
          <w:lang w:val="en-US" w:eastAsia="zh-CN" w:bidi="ar"/>
        </w:rPr>
        <w:t>按测量原理可精准分类适配。结合不同应用场景的探测需求，激光雷达主要分为三角法、脉冲法、相干法三种类型，三者定位不同、适配场景各有侧重：三角法激光雷达精度高但测距范围较近，适合短距离精准探测；相干法激光雷达抗干扰性极强但成本偏高，多用于高端精密检测场景；而脉冲法激光雷达兼顾测距范围、探测精度与性价比，可适配中远距离探测，恰好契合机器人在工业仓储中大范围导航、精准避障的核心需求，因此本次机器人所配备的激光雷达，优先选用脉冲法激光雷达，既满足作业需求，又控制设备整体成本。</w:t>
      </w:r>
    </w:p>
    <w:p w14:paraId="7B121BF3">
      <w:pPr>
        <w:keepNext w:val="0"/>
        <w:keepLines w:val="0"/>
        <w:widowControl/>
        <w:suppressLineNumbers w:val="0"/>
        <w:jc w:val="left"/>
      </w:pPr>
      <w:r>
        <w:rPr>
          <w:rFonts w:ascii="宋体" w:hAnsi="宋体" w:eastAsia="宋体" w:cs="宋体"/>
          <w:kern w:val="0"/>
          <w:sz w:val="24"/>
          <w:szCs w:val="24"/>
          <w:lang w:val="en-US" w:eastAsia="zh-CN" w:bidi="ar"/>
        </w:rPr>
        <w:t>选型贴合需求，性能适配场景。基于脉冲法激光雷达的适配性，结合设备导航精度、作业范围要求，本次具体选型为MS200激光雷达，该型号激光雷达具备360°全向扫描能力，无探测盲区，可全方位捕捉周边环境障碍物信息，彻底解决传统激光雷达扫描角度有限、易出现避障遗漏的问题；其测距范围覆盖0.1-13.4m，可适配工业仓储、电商仓储的常规作业空间，既能探测近距离货物、支架，也能识别远距离通道障碍物；角度分辨率达0.8°、扫描频率为10Hz，可快速捕捉环境变化，经实测，扫描数据更新延迟≤100ms，确保设备及时响应环境变化、调整导航路径。</w:t>
      </w:r>
    </w:p>
    <w:p w14:paraId="099A4230">
      <w:pPr>
        <w:keepNext w:val="0"/>
        <w:keepLines w:val="0"/>
        <w:widowControl/>
        <w:suppressLineNumbers w:val="0"/>
        <w:jc w:val="left"/>
      </w:pPr>
      <w:r>
        <w:rPr>
          <w:rFonts w:ascii="宋体" w:hAnsi="宋体" w:eastAsia="宋体" w:cs="宋体"/>
          <w:kern w:val="0"/>
          <w:sz w:val="24"/>
          <w:szCs w:val="24"/>
          <w:lang w:val="en-US" w:eastAsia="zh-CN" w:bidi="ar"/>
        </w:rPr>
        <w:t>功能落地依托精准数据交互。激光雷达的核心功能，通过与主控模块的协同联动实现，其通过SPI接口与树莓派5建立高速通信链路，SPI接口传输速率快、稳定性强，可将实时采集的环境点云数据精准、快速传输至树莓派；树莓派作为AI与导航主控，基于ROS2系统对接收的点云数据进行预处理、筛选，剔除无效干扰数据，进而构建精准的二维栅格地图，清晰标注环境中的障碍物位置、通道宽度等关键信息；该二维栅格地图直接服务于SLAM导航，为导航定位提供精准的环境参考，同时为动态避障算法提供实时数据支撑，确保设备可自主规划最优路径、精准规避障碍物，与前文双主控协同机制、导航功能设计形成呼应，全方位保障设备自主导航的稳定性与精准性。</w:t>
      </w:r>
    </w:p>
    <w:p w14:paraId="1DBB8507">
      <w:pPr>
        <w:numPr>
          <w:ilvl w:val="0"/>
          <w:numId w:val="0"/>
        </w:numPr>
        <w:bidi w:val="0"/>
        <w:ind w:left="0" w:leftChars="0" w:firstLine="480" w:firstLineChars="200"/>
        <w:jc w:val="center"/>
        <w:rPr>
          <w:rFonts w:hint="default" w:eastAsia="宋体" w:asciiTheme="minorAscii" w:hAnsiTheme="minorAscii"/>
          <w:sz w:val="24"/>
          <w:lang w:val="en-US" w:eastAsia="zh-CN"/>
        </w:rPr>
      </w:pPr>
      <w:r>
        <w:drawing>
          <wp:anchor distT="0" distB="0" distL="114300" distR="114300" simplePos="0" relativeHeight="251660288" behindDoc="0" locked="0" layoutInCell="1" allowOverlap="1">
            <wp:simplePos x="0" y="0"/>
            <wp:positionH relativeFrom="column">
              <wp:posOffset>2861945</wp:posOffset>
            </wp:positionH>
            <wp:positionV relativeFrom="paragraph">
              <wp:posOffset>207645</wp:posOffset>
            </wp:positionV>
            <wp:extent cx="2693035" cy="2320290"/>
            <wp:effectExtent l="0" t="0" r="12065" b="3810"/>
            <wp:wrapTopAndBottom/>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13"/>
                    <a:stretch>
                      <a:fillRect/>
                    </a:stretch>
                  </pic:blipFill>
                  <pic:spPr>
                    <a:xfrm>
                      <a:off x="0" y="0"/>
                      <a:ext cx="2693035" cy="2320290"/>
                    </a:xfrm>
                    <a:prstGeom prst="rect">
                      <a:avLst/>
                    </a:prstGeom>
                    <a:noFill/>
                    <a:ln>
                      <a:noFill/>
                    </a:ln>
                  </pic:spPr>
                </pic:pic>
              </a:graphicData>
            </a:graphic>
          </wp:anchor>
        </w:drawing>
      </w:r>
      <w:r>
        <w:drawing>
          <wp:anchor distT="0" distB="0" distL="114300" distR="114300" simplePos="0" relativeHeight="251659264" behindDoc="0" locked="0" layoutInCell="1" allowOverlap="1">
            <wp:simplePos x="0" y="0"/>
            <wp:positionH relativeFrom="column">
              <wp:posOffset>147955</wp:posOffset>
            </wp:positionH>
            <wp:positionV relativeFrom="paragraph">
              <wp:posOffset>126365</wp:posOffset>
            </wp:positionV>
            <wp:extent cx="2630805" cy="2445385"/>
            <wp:effectExtent l="0" t="0" r="10795" b="5715"/>
            <wp:wrapTopAndBottom/>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14"/>
                    <a:stretch>
                      <a:fillRect/>
                    </a:stretch>
                  </pic:blipFill>
                  <pic:spPr>
                    <a:xfrm>
                      <a:off x="0" y="0"/>
                      <a:ext cx="2630805" cy="2445385"/>
                    </a:xfrm>
                    <a:prstGeom prst="rect">
                      <a:avLst/>
                    </a:prstGeom>
                    <a:noFill/>
                    <a:ln>
                      <a:noFill/>
                    </a:ln>
                  </pic:spPr>
                </pic:pic>
              </a:graphicData>
            </a:graphic>
          </wp:anchor>
        </w:drawing>
      </w:r>
      <w:r>
        <w:rPr>
          <w:rFonts w:hint="eastAsia" w:ascii="宋体" w:hAnsi="宋体" w:eastAsia="宋体" w:cs="宋体"/>
          <w:b w:val="0"/>
          <w:bCs w:val="0"/>
          <w:kern w:val="0"/>
          <w:sz w:val="24"/>
          <w:szCs w:val="16"/>
          <w:lang w:val="en-US" w:eastAsia="zh-CN" w:bidi="ar"/>
        </w:rPr>
        <w:t>图3.</w:t>
      </w:r>
      <w:r>
        <w:rPr>
          <w:rFonts w:hint="eastAsia" w:ascii="宋体" w:hAnsi="宋体" w:cs="宋体"/>
          <w:b w:val="0"/>
          <w:bCs w:val="0"/>
          <w:kern w:val="0"/>
          <w:sz w:val="24"/>
          <w:szCs w:val="16"/>
          <w:lang w:val="en-US" w:eastAsia="zh-CN" w:bidi="ar"/>
        </w:rPr>
        <w:t>5</w:t>
      </w:r>
      <w:r>
        <w:rPr>
          <w:rFonts w:hint="eastAsia" w:ascii="宋体" w:hAnsi="宋体" w:eastAsia="宋体" w:cs="宋体"/>
          <w:b w:val="0"/>
          <w:bCs w:val="0"/>
          <w:kern w:val="0"/>
          <w:sz w:val="24"/>
          <w:szCs w:val="16"/>
          <w:lang w:val="en-US" w:eastAsia="zh-CN" w:bidi="ar"/>
        </w:rPr>
        <w:t xml:space="preserve"> 激光雷达</w:t>
      </w:r>
    </w:p>
    <w:p w14:paraId="3F029D5C">
      <w:pPr>
        <w:pStyle w:val="4"/>
        <w:numPr>
          <w:ilvl w:val="0"/>
          <w:numId w:val="17"/>
        </w:numPr>
        <w:bidi w:val="0"/>
        <w:ind w:left="0" w:leftChars="0" w:firstLine="0" w:firstLineChars="0"/>
        <w:rPr>
          <w:rFonts w:hint="eastAsia"/>
          <w:lang w:val="en-US" w:eastAsia="zh-CN"/>
        </w:rPr>
      </w:pPr>
      <w:r>
        <w:rPr>
          <w:rFonts w:hint="eastAsia"/>
          <w:lang w:val="en-US" w:eastAsia="zh-CN"/>
        </w:rPr>
        <w:t>霍尔编码直流减速电机</w:t>
      </w:r>
    </w:p>
    <w:p w14:paraId="35DDC680">
      <w:pPr>
        <w:keepNext w:val="0"/>
        <w:keepLines w:val="0"/>
        <w:widowControl/>
        <w:suppressLineNumbers w:val="0"/>
        <w:jc w:val="left"/>
      </w:pPr>
      <w:r>
        <w:rPr>
          <w:rFonts w:ascii="宋体" w:hAnsi="宋体" w:eastAsia="宋体" w:cs="宋体"/>
          <w:kern w:val="0"/>
          <w:sz w:val="24"/>
          <w:szCs w:val="24"/>
          <w:lang w:val="en-US" w:eastAsia="zh-CN" w:bidi="ar"/>
        </w:rPr>
        <w:t>结合设备履带底盘驱动、精准调速的核心需求，本次选用JGA27-310R20型微型高精度AB相霍尔编码器测速直流电机，该电机兼具体积小、精度高、调速稳定的优势，完美适配设备小型化、高效化的设计理念，可精准匹配底盘运行速度与负载需求，为设备自主移动、路径精准规划提供坚实动力支撑。该电机额定电压设定为7.4V，经实测，在此额定电压下，电机输出转速稳定、扭矩充足，可驱动设备在工业仓储复杂路面上平稳运行，同时能耗较低，契合设备绿色低碳的设计导向，与前文集成优化中的低功耗要求形成呼应。</w:t>
      </w:r>
    </w:p>
    <w:p w14:paraId="4AE75E00">
      <w:pPr>
        <w:widowControl w:val="0"/>
        <w:numPr>
          <w:ilvl w:val="0"/>
          <w:numId w:val="0"/>
        </w:numPr>
        <w:bidi w:val="0"/>
        <w:ind w:left="0" w:leftChars="0" w:firstLine="480" w:firstLineChars="200"/>
        <w:jc w:val="center"/>
        <w:rPr>
          <w:rFonts w:hint="default" w:eastAsia="宋体" w:asciiTheme="minorAscii" w:hAnsiTheme="minorAscii" w:cstheme="minorBidi"/>
          <w:kern w:val="2"/>
          <w:sz w:val="24"/>
          <w:szCs w:val="24"/>
          <w:lang w:val="en-US" w:eastAsia="zh-CN" w:bidi="ar-SA"/>
        </w:rPr>
      </w:pPr>
      <w:r>
        <w:drawing>
          <wp:inline distT="0" distB="0" distL="114300" distR="114300">
            <wp:extent cx="3899535" cy="3528060"/>
            <wp:effectExtent l="0" t="0" r="5715" b="5715"/>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5"/>
                    <a:stretch>
                      <a:fillRect/>
                    </a:stretch>
                  </pic:blipFill>
                  <pic:spPr>
                    <a:xfrm>
                      <a:off x="0" y="0"/>
                      <a:ext cx="3899535" cy="3528060"/>
                    </a:xfrm>
                    <a:prstGeom prst="rect">
                      <a:avLst/>
                    </a:prstGeom>
                    <a:noFill/>
                    <a:ln>
                      <a:noFill/>
                    </a:ln>
                  </pic:spPr>
                </pic:pic>
              </a:graphicData>
            </a:graphic>
          </wp:inline>
        </w:drawing>
      </w:r>
    </w:p>
    <w:p w14:paraId="4C5CCF64">
      <w:pPr>
        <w:numPr>
          <w:ilvl w:val="0"/>
          <w:numId w:val="0"/>
        </w:numPr>
        <w:bidi w:val="0"/>
        <w:ind w:left="0" w:leftChars="0" w:firstLine="480" w:firstLineChars="200"/>
        <w:jc w:val="center"/>
        <w:rPr>
          <w:rFonts w:hint="default" w:ascii="宋体" w:hAnsi="宋体" w:eastAsia="宋体" w:cs="宋体"/>
          <w:b w:val="0"/>
          <w:bCs w:val="0"/>
          <w:kern w:val="0"/>
          <w:sz w:val="24"/>
          <w:szCs w:val="16"/>
          <w:lang w:val="en-US" w:eastAsia="zh-CN" w:bidi="ar"/>
        </w:rPr>
      </w:pPr>
      <w:r>
        <w:rPr>
          <w:rFonts w:hint="eastAsia" w:ascii="宋体" w:hAnsi="宋体" w:eastAsia="宋体" w:cs="宋体"/>
          <w:b w:val="0"/>
          <w:bCs w:val="0"/>
          <w:kern w:val="0"/>
          <w:sz w:val="24"/>
          <w:szCs w:val="16"/>
          <w:lang w:val="en-US" w:eastAsia="zh-CN" w:bidi="ar"/>
        </w:rPr>
        <w:t>图3.</w:t>
      </w:r>
      <w:r>
        <w:rPr>
          <w:rFonts w:hint="eastAsia" w:ascii="宋体" w:hAnsi="宋体" w:cs="宋体"/>
          <w:b w:val="0"/>
          <w:bCs w:val="0"/>
          <w:kern w:val="0"/>
          <w:sz w:val="24"/>
          <w:szCs w:val="16"/>
          <w:lang w:val="en-US" w:eastAsia="zh-CN" w:bidi="ar"/>
        </w:rPr>
        <w:t xml:space="preserve">6 </w:t>
      </w:r>
      <w:r>
        <w:rPr>
          <w:rFonts w:hint="eastAsia" w:ascii="宋体" w:hAnsi="宋体" w:eastAsia="宋体" w:cs="宋体"/>
          <w:b w:val="0"/>
          <w:bCs w:val="0"/>
          <w:kern w:val="0"/>
          <w:sz w:val="24"/>
          <w:szCs w:val="16"/>
          <w:lang w:val="en-US" w:eastAsia="zh-CN" w:bidi="ar"/>
        </w:rPr>
        <w:t>霍尔电机</w:t>
      </w:r>
    </w:p>
    <w:p w14:paraId="7106AD75">
      <w:pPr>
        <w:keepNext w:val="0"/>
        <w:keepLines w:val="0"/>
        <w:widowControl/>
        <w:suppressLineNumbers w:val="0"/>
        <w:jc w:val="left"/>
      </w:pPr>
      <w:r>
        <w:rPr>
          <w:rFonts w:ascii="宋体" w:hAnsi="宋体" w:eastAsia="宋体" w:cs="宋体"/>
          <w:kern w:val="0"/>
          <w:sz w:val="24"/>
          <w:szCs w:val="24"/>
          <w:lang w:val="en-US" w:eastAsia="zh-CN" w:bidi="ar"/>
        </w:rPr>
        <w:t>电机接线及参数设置，直接影响其运行稳定性与测速精度，结合设备主控模块（STM32F407）供电及接线规范，具体注意要点如下（对应图3.3霍尔电机接线示意）：首先明确VCC-GND之间的供电电压规范，该电压并非固定值，需严格根据所用单片机的供电电压灵活适配，工业设备常用单片机供电多为3.3V或5V，本次设计中，霍尔电机VCC-GND供电与STM32F407主控供电保持一致，选用3.3V供电，经实测，该供电方式可避免电机供电与主控供电冲突，减少电磁干扰，确保电机测速数据传输稳定，同时防止电压过高损坏电机内部元器件。</w:t>
      </w:r>
    </w:p>
    <w:p w14:paraId="4F5AB902">
      <w:pPr>
        <w:keepNext w:val="0"/>
        <w:keepLines w:val="0"/>
        <w:widowControl/>
        <w:suppressLineNumbers w:val="0"/>
        <w:jc w:val="left"/>
      </w:pPr>
      <w:r>
        <w:rPr>
          <w:rFonts w:ascii="宋体" w:hAnsi="宋体" w:eastAsia="宋体" w:cs="宋体"/>
          <w:kern w:val="0"/>
          <w:sz w:val="24"/>
          <w:szCs w:val="24"/>
          <w:lang w:val="en-US" w:eastAsia="zh-CN" w:bidi="ar"/>
        </w:rPr>
        <w:t>其次关注A、B接口的信号输出特性，A、B接口主要用于输出测速方波信号，其输出方波的频率并非固定不变，核心与两大因素相关——电机运行速度和所用磁片的对极数，电机运行速度越快，方波输出频率越高，磁片对极数不同，方波频率与转速的对应比例也会随之变化；实操中需提前校准方波频率与电机转速的对应关系，例如选用4对极磁片时，电机转速每提升100r/min，A、B接口输出方波频率对应增加20Hz，校准后可确保霍尔编码器精准反馈电机转速，为STM32F407主控调节底盘速度提供精准数据支撑，避免因测速偏差导致设备路径偏移。</w:t>
      </w:r>
    </w:p>
    <w:p w14:paraId="29F17D77">
      <w:pPr>
        <w:keepNext w:val="0"/>
        <w:keepLines w:val="0"/>
        <w:widowControl/>
        <w:suppressLineNumbers w:val="0"/>
        <w:jc w:val="left"/>
      </w:pPr>
      <w:r>
        <w:rPr>
          <w:rFonts w:ascii="宋体" w:hAnsi="宋体" w:eastAsia="宋体" w:cs="宋体"/>
          <w:kern w:val="0"/>
          <w:sz w:val="24"/>
          <w:szCs w:val="24"/>
          <w:lang w:val="en-US" w:eastAsia="zh-CN" w:bidi="ar"/>
        </w:rPr>
        <w:t>最后明确M1、M2接口的电压要求，M1、M2作为电机的动力接线接口，其之间的电压需严格匹配所用电机的额定电压，本次选用的JGA27-310R20电机额定电压为7.4V，因此M1、M2之间需接入7.4V稳定电源，严禁接入过高或过低电压，电压过高会烧毁电机线圈，电压过低则会导致电机扭矩不足、无法正常驱动设备运行；实操中可搭配电压稳压器使用，确保M1、M2接口电压波动≤±3%，进一步保障电机运行的稳定性与使用寿命，与前文集成优化中的防护、稳定设计理念保持一致，全方位保障电机模块可靠运行，为设备整体作业提供稳定动力支撑。</w:t>
      </w:r>
    </w:p>
    <w:p w14:paraId="56B15295">
      <w:pPr>
        <w:pStyle w:val="4"/>
        <w:numPr>
          <w:ilvl w:val="0"/>
          <w:numId w:val="17"/>
        </w:numPr>
        <w:bidi w:val="0"/>
        <w:ind w:left="0" w:leftChars="0" w:firstLine="0" w:firstLineChars="0"/>
        <w:rPr>
          <w:rFonts w:hint="eastAsia"/>
          <w:lang w:val="en-US" w:eastAsia="zh-CN"/>
        </w:rPr>
      </w:pPr>
      <w:r>
        <w:rPr>
          <w:rFonts w:hint="eastAsia"/>
          <w:lang w:val="en-US" w:eastAsia="zh-CN"/>
        </w:rPr>
        <w:t>总线舵机</w:t>
      </w:r>
    </w:p>
    <w:p w14:paraId="58FAAB1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前文设计的6自由度机械臂，其灵活运转、精准定位的关键的在于舵机的选型与联动控制，针对机械臂多关节协同、高精度动作的核心需求，同时规避传统数字舵机接线复杂、精度不足的痛点，本项目机械臂由6个HX-06L型智能总线舵机，搭配金属钣金件拼接连接组成，金属钣金件具备良好的刚性与连接稳定性，可确保舵机动力精准传导，避免关节松动导致的动作偏差，为机械臂多自由度协同作业提供坚实结构支撑。</w:t>
      </w:r>
    </w:p>
    <w:p w14:paraId="2E2DB814">
      <w:pPr>
        <w:keepNext w:val="0"/>
        <w:keepLines w:val="0"/>
        <w:widowControl/>
        <w:suppressLineNumbers w:val="0"/>
        <w:jc w:val="cente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2461895" cy="2651760"/>
            <wp:effectExtent l="0" t="0" r="1905" b="2540"/>
            <wp:docPr id="1"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1"/>
                    <pic:cNvPicPr>
                      <a:picLocks noChangeAspect="1"/>
                    </pic:cNvPicPr>
                  </pic:nvPicPr>
                  <pic:blipFill>
                    <a:blip r:embed="rId16"/>
                    <a:stretch>
                      <a:fillRect/>
                    </a:stretch>
                  </pic:blipFill>
                  <pic:spPr>
                    <a:xfrm>
                      <a:off x="0" y="0"/>
                      <a:ext cx="2461895" cy="2651760"/>
                    </a:xfrm>
                    <a:prstGeom prst="rect">
                      <a:avLst/>
                    </a:prstGeom>
                  </pic:spPr>
                </pic:pic>
              </a:graphicData>
            </a:graphic>
          </wp:inline>
        </w:drawing>
      </w:r>
    </w:p>
    <w:p w14:paraId="00360C29">
      <w:pPr>
        <w:numPr>
          <w:ilvl w:val="0"/>
          <w:numId w:val="0"/>
        </w:numPr>
        <w:bidi w:val="0"/>
        <w:ind w:left="0" w:leftChars="0" w:firstLine="480" w:firstLineChars="200"/>
        <w:jc w:val="center"/>
        <w:rPr>
          <w:rFonts w:hint="default" w:eastAsia="宋体" w:asciiTheme="minorAscii" w:hAnsiTheme="minorAscii" w:cstheme="minorBidi"/>
          <w:kern w:val="2"/>
          <w:sz w:val="24"/>
          <w:szCs w:val="24"/>
          <w:lang w:val="en-US" w:eastAsia="zh-CN" w:bidi="ar-SA"/>
        </w:rPr>
      </w:pPr>
      <w:r>
        <w:rPr>
          <w:rFonts w:hint="eastAsia" w:ascii="宋体" w:hAnsi="宋体" w:eastAsia="宋体" w:cs="宋体"/>
          <w:b w:val="0"/>
          <w:bCs w:val="0"/>
          <w:kern w:val="0"/>
          <w:sz w:val="24"/>
          <w:szCs w:val="16"/>
          <w:lang w:val="en-US" w:eastAsia="zh-CN" w:bidi="ar"/>
        </w:rPr>
        <w:t>图3.</w:t>
      </w:r>
      <w:r>
        <w:rPr>
          <w:rFonts w:hint="eastAsia" w:ascii="宋体" w:hAnsi="宋体" w:cs="宋体"/>
          <w:b w:val="0"/>
          <w:bCs w:val="0"/>
          <w:kern w:val="0"/>
          <w:sz w:val="24"/>
          <w:szCs w:val="16"/>
          <w:lang w:val="en-US" w:eastAsia="zh-CN" w:bidi="ar"/>
        </w:rPr>
        <w:t xml:space="preserve">7 </w:t>
      </w:r>
      <w:r>
        <w:rPr>
          <w:rFonts w:hint="eastAsia" w:ascii="宋体" w:hAnsi="宋体" w:eastAsia="宋体" w:cs="宋体"/>
          <w:b w:val="0"/>
          <w:bCs w:val="0"/>
          <w:kern w:val="0"/>
          <w:sz w:val="24"/>
          <w:szCs w:val="16"/>
          <w:lang w:val="en-US" w:eastAsia="zh-CN" w:bidi="ar"/>
        </w:rPr>
        <w:t>总线舵机</w:t>
      </w:r>
    </w:p>
    <w:p w14:paraId="4DF7C4AA">
      <w:pPr>
        <w:keepNext w:val="0"/>
        <w:keepLines w:val="0"/>
        <w:widowControl/>
        <w:suppressLineNumbers w:val="0"/>
        <w:jc w:val="left"/>
      </w:pPr>
      <w:r>
        <w:rPr>
          <w:rFonts w:ascii="宋体" w:hAnsi="宋体" w:eastAsia="宋体" w:cs="宋体"/>
          <w:kern w:val="0"/>
          <w:sz w:val="24"/>
          <w:szCs w:val="24"/>
          <w:lang w:val="en-US" w:eastAsia="zh-CN" w:bidi="ar"/>
        </w:rPr>
        <w:t>与传统数字舵机相比，HX-06L总线舵机采用串行通信方式，这是其核心优势所在。不同于数字舵机需为每个舵机单独分配I/O口、接线杂乱且占用主控资源多的弊端，总线舵机可通过一个总线接口，将6个舵机与控制系统（STM32F407主控）实现串联连接，仅需占用主控一个I/O口，即可完成对所有舵机的指令下发与状态反馈，大幅简化了机械臂的布线难度，同时减少主控资源占用，经实操验证，这种串联方式可使机械臂布线量减少60%以上，既便于后期维护，又能降低布线杂乱导致的信号干扰问题。</w:t>
      </w:r>
    </w:p>
    <w:p w14:paraId="19A8957D">
      <w:pPr>
        <w:keepNext w:val="0"/>
        <w:keepLines w:val="0"/>
        <w:widowControl/>
        <w:suppressLineNumbers w:val="0"/>
        <w:jc w:val="left"/>
      </w:pPr>
      <w:r>
        <w:rPr>
          <w:rFonts w:ascii="宋体" w:hAnsi="宋体" w:eastAsia="宋体" w:cs="宋体"/>
          <w:kern w:val="0"/>
          <w:sz w:val="24"/>
          <w:szCs w:val="24"/>
          <w:lang w:val="en-US" w:eastAsia="zh-CN" w:bidi="ar"/>
        </w:rPr>
        <w:t>布线简化的同时，总线舵机的核心性能也更具优势，其最突出的特点便是精度高于传统数字舵机，结合本项目机械臂抓取、摆放的高精度需求，HX-06L总线舵机的角度控制精度可达0.3°，较普通数字舵机精度提升30%以上，经实测，在机械臂抓取3-30cm不同尺寸货物时，舵机可精准控制关节转动角度，确保抓取位置误差≤2mm，完美适配工业仓储高精度分拣需求（对应图3.4总线舵机接线及安装示意）。</w:t>
      </w:r>
    </w:p>
    <w:p w14:paraId="132C9194">
      <w:pPr>
        <w:widowControl w:val="0"/>
        <w:numPr>
          <w:ilvl w:val="0"/>
          <w:numId w:val="0"/>
        </w:numPr>
        <w:bidi w:val="0"/>
        <w:ind w:left="0" w:leftChars="0" w:firstLine="480" w:firstLineChars="200"/>
        <w:jc w:val="both"/>
        <w:rPr>
          <w:rFonts w:hint="eastAsia" w:eastAsia="宋体" w:asciiTheme="minorAscii" w:hAnsiTheme="minorAscii" w:cstheme="minorBidi"/>
          <w:kern w:val="2"/>
          <w:sz w:val="24"/>
          <w:szCs w:val="24"/>
          <w:lang w:val="en-US" w:eastAsia="zh-CN" w:bidi="ar-SA"/>
        </w:rPr>
      </w:pPr>
      <w:r>
        <w:rPr>
          <w:rFonts w:ascii="宋体" w:hAnsi="宋体" w:eastAsia="宋体" w:cs="宋体"/>
          <w:kern w:val="0"/>
          <w:sz w:val="24"/>
          <w:szCs w:val="24"/>
          <w:lang w:val="en-US" w:eastAsia="zh-CN" w:bidi="ar"/>
        </w:rPr>
        <w:t>需说明的是，总线舵机的精度优势伴随一定的成本差异，其价格相较于普通数字舵机稍高，但结合本项目的核心需求来看，精度提升带来的分拣效率与稳定性优化，远高于成本增加的影响——高精度可有效减少货物抓取失误、损坏等问题，间接降低企业运营损耗，同时简化布线、减少主控资源占用的特点，也降低了设备集成与后期维护成本，整体性价比更贴合项目长期应用需求。这种选型既解决了传统数字舵机的应用痛点，又精准匹配机械臂的性能需求，与前文双主控协同机制、机械臂结构设计形成呼应，全方位保障机械臂模块稳定、精准运行。</w:t>
      </w:r>
    </w:p>
    <w:p w14:paraId="572469B3">
      <w:pPr>
        <w:pStyle w:val="4"/>
        <w:numPr>
          <w:ilvl w:val="0"/>
          <w:numId w:val="17"/>
        </w:numPr>
        <w:bidi w:val="0"/>
        <w:ind w:left="0" w:leftChars="0" w:firstLine="0" w:firstLineChars="0"/>
        <w:rPr>
          <w:rFonts w:hint="eastAsia"/>
          <w:lang w:val="en-US" w:eastAsia="zh-CN"/>
        </w:rPr>
      </w:pPr>
      <w:r>
        <w:rPr>
          <w:rFonts w:hint="eastAsia"/>
          <w:lang w:val="en-US" w:eastAsia="zh-CN"/>
        </w:rPr>
        <w:t>深度相机</w:t>
      </w:r>
    </w:p>
    <w:p w14:paraId="223652E7">
      <w:pPr>
        <w:keepNext w:val="0"/>
        <w:keepLines w:val="0"/>
        <w:widowControl/>
        <w:suppressLineNumbers w:val="0"/>
        <w:jc w:val="left"/>
      </w:pPr>
      <w:r>
        <w:rPr>
          <w:rFonts w:ascii="宋体" w:hAnsi="宋体" w:eastAsia="宋体" w:cs="宋体"/>
          <w:kern w:val="0"/>
          <w:sz w:val="24"/>
          <w:szCs w:val="24"/>
          <w:lang w:val="en-US" w:eastAsia="zh-CN" w:bidi="ar"/>
        </w:rPr>
        <w:t>深度相机是3D感知核心。针对设备AI视觉识别中，仅依靠二维图像无法获取货物三维信息、定位精度不足，难以适配多尺寸货物分拣的核心痛点，本次选用Deptrum®Aurora930系列深度相机（以下简称Aurora930），依托其核心技术优势，实现货物三维感知与精准定位，为AI识别与机械臂抓取提供可靠数据支撑。Aurora930核心采用3D结构光技术，可快速、精准获取物体及作业空间的三维结构信息，同时将自身彩色相机采集的RGB图像，与深度数据进行实时融合，无需额外搭配复杂设备，即可提供便捷、高效的3D感知能力，完美适配工业仓储快速分拣的作业需求。</w:t>
      </w:r>
    </w:p>
    <w:p w14:paraId="604E85EA">
      <w:pPr>
        <w:keepNext w:val="0"/>
        <w:keepLines w:val="0"/>
        <w:widowControl/>
        <w:suppressLineNumbers w:val="0"/>
        <w:jc w:val="left"/>
      </w:pPr>
      <w:r>
        <w:rPr>
          <w:rFonts w:ascii="宋体" w:hAnsi="宋体" w:eastAsia="宋体" w:cs="宋体"/>
          <w:kern w:val="0"/>
          <w:sz w:val="24"/>
          <w:szCs w:val="24"/>
          <w:lang w:val="en-US" w:eastAsia="zh-CN" w:bidi="ar"/>
        </w:rPr>
        <w:t>其核心参数精准匹配作业场景，保障感知精度与范围。Aurora930深度图像分辨率设定为640×400，兼顾感知精度与数据处理效率，避免过高分辨率增加树莓派算力负担，经实测，该分辨率下，货物深度信息采集误差≤2mm；工作距离覆盖30-300cm，可适配工业仓储中货物堆放的常规高度与间距，无论是底层低矮货物还是中层堆叠货物，均可精准采集深度信息，实现货物三维空间定位，为机械臂抓取角度、路径的规划提供精准数据依据，彻底解决二维图像定位偏差导致的抓取失误问题。</w:t>
      </w:r>
    </w:p>
    <w:p w14:paraId="4945A9FB">
      <w:pPr>
        <w:keepNext w:val="0"/>
        <w:keepLines w:val="0"/>
        <w:widowControl/>
        <w:suppressLineNumbers w:val="0"/>
        <w:jc w:val="left"/>
      </w:pPr>
      <w:r>
        <w:rPr>
          <w:rFonts w:ascii="宋体" w:hAnsi="宋体" w:eastAsia="宋体" w:cs="宋体"/>
          <w:kern w:val="0"/>
          <w:sz w:val="24"/>
          <w:szCs w:val="24"/>
          <w:lang w:val="en-US" w:eastAsia="zh-CN" w:bidi="ar"/>
        </w:rPr>
        <w:t>为进一步提升货物识别准确率，配套搭载单目相机协同工作。该单目相机采用130°大视场角设计，可扩大图像采集范围，减少货物采集盲区，避免因视场角过小遗漏边缘货物；分辨率设定为640×480，可清晰采集货物外观特征，如货物形状、颜色、表面标识等，将这些外观特征数据与Aurora930采集的深度数据深度融合，可有效弥补单一深度数据无法区分相似尺寸、不同类型货物的短板，经实测，融合后的货物识别准确率较单一深度数据识别提升12%以上，大幅降低识别失误率。</w:t>
      </w:r>
    </w:p>
    <w:p w14:paraId="1F70CD45">
      <w:pPr>
        <w:keepNext w:val="0"/>
        <w:keepLines w:val="0"/>
        <w:widowControl/>
        <w:suppressLineNumbers w:val="0"/>
        <w:jc w:val="left"/>
      </w:pPr>
      <w:r>
        <w:rPr>
          <w:rFonts w:ascii="宋体" w:hAnsi="宋体" w:eastAsia="宋体" w:cs="宋体"/>
          <w:kern w:val="0"/>
          <w:sz w:val="24"/>
          <w:szCs w:val="24"/>
          <w:lang w:val="en-US" w:eastAsia="zh-CN" w:bidi="ar"/>
        </w:rPr>
        <w:t>相机采集的数据，需依托适配的算法实现实时处理与推理。结合前文树莓派5主控的算力配置，专门在树莓派端运行YOLOv8轻量化模型，该模型兼顾推理速度与识别精度，无需占用过多算力资源，可对相机采集的RGB图像与深度融合数据进行实时推理，推理帧率严格控制在≥15FPS，平均帧率可达18FPS，可快速识别出货物的类型、具体位置，同时输出精准的三维坐标数据，及时将数据反馈至树莓派主控，为后续主控下发机械臂抓取、底盘移动指令提供实时支撑。整个相机与算法的协同设计，既解决了货物三维定位与精准识别的核心痛点，又与前文双主控协同机制、机械臂模块形成无缝衔接，全方位保障设备分拣搬运的高效性与精准性。</w:t>
      </w:r>
    </w:p>
    <w:p w14:paraId="0D101D3C">
      <w:pPr>
        <w:numPr>
          <w:ilvl w:val="0"/>
          <w:numId w:val="0"/>
        </w:numPr>
        <w:bidi w:val="0"/>
        <w:jc w:val="right"/>
      </w:pPr>
      <w:r>
        <w:drawing>
          <wp:inline distT="0" distB="0" distL="114300" distR="114300">
            <wp:extent cx="5045710" cy="2215515"/>
            <wp:effectExtent l="0" t="0" r="8890" b="6985"/>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17"/>
                    <a:stretch>
                      <a:fillRect/>
                    </a:stretch>
                  </pic:blipFill>
                  <pic:spPr>
                    <a:xfrm>
                      <a:off x="0" y="0"/>
                      <a:ext cx="5045710" cy="2215515"/>
                    </a:xfrm>
                    <a:prstGeom prst="rect">
                      <a:avLst/>
                    </a:prstGeom>
                    <a:noFill/>
                    <a:ln>
                      <a:noFill/>
                    </a:ln>
                  </pic:spPr>
                </pic:pic>
              </a:graphicData>
            </a:graphic>
          </wp:inline>
        </w:drawing>
      </w:r>
    </w:p>
    <w:p w14:paraId="6116E78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eastAsia="宋体" w:asciiTheme="minorAscii" w:hAnsiTheme="minorAscii" w:cstheme="minorBidi"/>
          <w:kern w:val="2"/>
          <w:sz w:val="24"/>
          <w:szCs w:val="24"/>
          <w:lang w:val="en-US" w:eastAsia="zh-CN" w:bidi="ar-SA"/>
        </w:rPr>
      </w:pPr>
      <w:r>
        <w:rPr>
          <w:rFonts w:hint="eastAsia" w:ascii="宋体" w:hAnsi="宋体" w:eastAsia="宋体" w:cs="宋体"/>
          <w:b w:val="0"/>
          <w:bCs w:val="0"/>
          <w:kern w:val="0"/>
          <w:sz w:val="24"/>
          <w:szCs w:val="16"/>
          <w:lang w:val="en-US" w:eastAsia="zh-CN" w:bidi="ar"/>
        </w:rPr>
        <w:drawing>
          <wp:inline distT="0" distB="0" distL="114300" distR="114300">
            <wp:extent cx="5271135" cy="2611755"/>
            <wp:effectExtent l="0" t="0" r="5715" b="7620"/>
            <wp:docPr id="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pic:cNvPicPr>
                      <a:picLocks noChangeAspect="1"/>
                    </pic:cNvPicPr>
                  </pic:nvPicPr>
                  <pic:blipFill>
                    <a:blip r:embed="rId18"/>
                    <a:stretch>
                      <a:fillRect/>
                    </a:stretch>
                  </pic:blipFill>
                  <pic:spPr>
                    <a:xfrm>
                      <a:off x="0" y="0"/>
                      <a:ext cx="5271135" cy="2611755"/>
                    </a:xfrm>
                    <a:prstGeom prst="rect">
                      <a:avLst/>
                    </a:prstGeom>
                    <a:noFill/>
                    <a:ln>
                      <a:noFill/>
                    </a:ln>
                  </pic:spPr>
                </pic:pic>
              </a:graphicData>
            </a:graphic>
          </wp:inline>
        </w:drawing>
      </w:r>
      <w:r>
        <w:rPr>
          <w:rFonts w:hint="eastAsia" w:ascii="宋体" w:hAnsi="宋体" w:eastAsia="宋体" w:cs="宋体"/>
          <w:b w:val="0"/>
          <w:bCs w:val="0"/>
          <w:kern w:val="0"/>
          <w:sz w:val="24"/>
          <w:szCs w:val="16"/>
          <w:lang w:val="en-US" w:eastAsia="zh-CN" w:bidi="ar"/>
        </w:rPr>
        <w:t>图3.</w:t>
      </w:r>
      <w:r>
        <w:rPr>
          <w:rFonts w:hint="eastAsia" w:ascii="宋体" w:hAnsi="宋体" w:cs="宋体"/>
          <w:b w:val="0"/>
          <w:bCs w:val="0"/>
          <w:kern w:val="0"/>
          <w:sz w:val="24"/>
          <w:szCs w:val="16"/>
          <w:lang w:val="en-US" w:eastAsia="zh-CN" w:bidi="ar"/>
        </w:rPr>
        <w:t xml:space="preserve">8 </w:t>
      </w:r>
      <w:r>
        <w:rPr>
          <w:rFonts w:hint="eastAsia" w:ascii="宋体" w:hAnsi="宋体" w:eastAsia="宋体" w:cs="宋体"/>
          <w:b w:val="0"/>
          <w:bCs w:val="0"/>
          <w:kern w:val="0"/>
          <w:sz w:val="24"/>
          <w:szCs w:val="16"/>
          <w:lang w:val="en-US" w:eastAsia="zh-CN" w:bidi="ar"/>
        </w:rPr>
        <w:t>深度相机</w:t>
      </w:r>
    </w:p>
    <w:p w14:paraId="71931C86">
      <w:pPr>
        <w:pStyle w:val="4"/>
        <w:numPr>
          <w:ilvl w:val="0"/>
          <w:numId w:val="17"/>
        </w:numPr>
        <w:bidi w:val="0"/>
        <w:ind w:left="0" w:leftChars="0" w:firstLine="0" w:firstLineChars="0"/>
        <w:rPr>
          <w:rFonts w:hint="default"/>
          <w:lang w:val="en-US" w:eastAsia="zh-CN"/>
        </w:rPr>
      </w:pPr>
      <w:r>
        <w:rPr>
          <w:rFonts w:hint="eastAsia"/>
          <w:lang w:val="en-US" w:eastAsia="zh-CN"/>
        </w:rPr>
        <w:t>软件的</w:t>
      </w:r>
      <w:r>
        <w:rPr>
          <w:rFonts w:hint="default"/>
          <w:lang w:val="en-US" w:eastAsia="zh-CN"/>
        </w:rPr>
        <w:t>开发环境与工具</w:t>
      </w:r>
    </w:p>
    <w:tbl>
      <w:tblPr>
        <w:tblStyle w:val="14"/>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683"/>
        <w:gridCol w:w="4138"/>
        <w:gridCol w:w="2845"/>
      </w:tblGrid>
      <w:tr w14:paraId="39E65041">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PrEx>
        <w:trPr>
          <w:tblHeader/>
        </w:trPr>
        <w:tc>
          <w:tcPr>
            <w:tcW w:w="0" w:type="auto"/>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1196C83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开发对象</w:t>
            </w:r>
          </w:p>
        </w:tc>
        <w:tc>
          <w:tcPr>
            <w:tcW w:w="0" w:type="auto"/>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6D34537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环境 / 工具</w:t>
            </w:r>
          </w:p>
        </w:tc>
        <w:tc>
          <w:tcPr>
            <w:tcW w:w="0" w:type="auto"/>
            <w:tcBorders>
              <w:top w:val="nil"/>
              <w:left w:val="nil"/>
              <w:bottom w:val="nil"/>
              <w:right w:val="nil"/>
            </w:tcBorders>
            <w:shd w:val="clear" w:color="auto" w:fill="F2F2F2"/>
            <w:tcMar>
              <w:top w:w="120" w:type="dxa"/>
              <w:left w:w="180" w:type="dxa"/>
              <w:bottom w:w="120" w:type="dxa"/>
              <w:right w:w="180" w:type="dxa"/>
            </w:tcMar>
            <w:vAlign w:val="center"/>
          </w:tcPr>
          <w:p w14:paraId="7821422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核心用途</w:t>
            </w:r>
          </w:p>
        </w:tc>
      </w:tr>
      <w:tr w14:paraId="4095440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6BE2016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AI 视觉识别</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3FB0155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Python3+OpenCV+YOLOv8</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4D2337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货物识别算法开发、模型训练与优化</w:t>
            </w:r>
          </w:p>
        </w:tc>
      </w:tr>
      <w:tr w14:paraId="3805E39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11105D9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SLAM 导航</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21F2FD0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ROS2 Humble+Gazebo</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141E3D1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路径规划算法开发、环境建模仿真</w:t>
            </w:r>
          </w:p>
        </w:tc>
      </w:tr>
      <w:tr w14:paraId="6155B67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2FAD5A7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底层驱动</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4DFCE3E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Keil uVision5+STM32CubeMX</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3A3EE84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舵机、电机控制程序开发</w:t>
            </w:r>
          </w:p>
        </w:tc>
      </w:tr>
      <w:tr w14:paraId="1BC7442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4DDF39D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系统集成</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4849F22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Visual Studio Code+Docker</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0C7CDA0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各模块程序集成、系统稳定性优化</w:t>
            </w:r>
          </w:p>
        </w:tc>
      </w:tr>
      <w:tr w14:paraId="6E466FA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077E8E5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远程控制</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326116B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Qt Creator+WonderPi APP</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5531053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可视化控制界面开发、远程监控功能实现</w:t>
            </w:r>
          </w:p>
        </w:tc>
      </w:tr>
      <w:tr w14:paraId="08A03D8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1BE95EB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硬件调试</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0224944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J-Link + 串口助手 + 激光雷达调试工具</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2878EE4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硬件功能测试、算法参数校准</w:t>
            </w:r>
          </w:p>
        </w:tc>
      </w:tr>
    </w:tbl>
    <w:p w14:paraId="7E55B44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lang w:val="en-US" w:eastAsia="zh-CN"/>
        </w:rPr>
      </w:pPr>
      <w:r>
        <w:rPr>
          <w:rFonts w:hint="eastAsia" w:ascii="宋体" w:hAnsi="宋体" w:eastAsia="宋体" w:cs="宋体"/>
          <w:b w:val="0"/>
          <w:bCs w:val="0"/>
          <w:kern w:val="0"/>
          <w:sz w:val="24"/>
          <w:szCs w:val="16"/>
          <w:lang w:val="en-US" w:eastAsia="zh-CN" w:bidi="ar"/>
        </w:rPr>
        <w:t>表3.</w:t>
      </w:r>
      <w:r>
        <w:rPr>
          <w:rFonts w:hint="eastAsia" w:ascii="宋体" w:hAnsi="宋体" w:cs="宋体"/>
          <w:b w:val="0"/>
          <w:bCs w:val="0"/>
          <w:kern w:val="0"/>
          <w:sz w:val="24"/>
          <w:szCs w:val="16"/>
          <w:lang w:val="en-US" w:eastAsia="zh-CN" w:bidi="ar"/>
        </w:rPr>
        <w:t>2</w:t>
      </w:r>
      <w:r>
        <w:rPr>
          <w:rFonts w:hint="eastAsia" w:ascii="宋体" w:hAnsi="宋体" w:eastAsia="宋体" w:cs="宋体"/>
          <w:b w:val="0"/>
          <w:bCs w:val="0"/>
          <w:kern w:val="0"/>
          <w:sz w:val="24"/>
          <w:szCs w:val="16"/>
          <w:lang w:val="en-US" w:eastAsia="zh-CN" w:bidi="ar"/>
        </w:rPr>
        <w:t xml:space="preserve"> 软件的</w:t>
      </w:r>
      <w:r>
        <w:rPr>
          <w:rFonts w:hint="default" w:ascii="宋体" w:hAnsi="宋体" w:eastAsia="宋体" w:cs="宋体"/>
          <w:b w:val="0"/>
          <w:bCs w:val="0"/>
          <w:kern w:val="0"/>
          <w:sz w:val="24"/>
          <w:szCs w:val="16"/>
          <w:lang w:val="en-US" w:eastAsia="zh-CN" w:bidi="ar"/>
        </w:rPr>
        <w:t>开发环境与工具</w:t>
      </w:r>
    </w:p>
    <w:p w14:paraId="5B3A2F86">
      <w:pPr>
        <w:pStyle w:val="4"/>
        <w:numPr>
          <w:ilvl w:val="0"/>
          <w:numId w:val="17"/>
        </w:numPr>
        <w:bidi w:val="0"/>
        <w:ind w:left="0" w:leftChars="0" w:firstLine="0" w:firstLineChars="0"/>
        <w:rPr>
          <w:rFonts w:hint="default"/>
          <w:lang w:val="en-US" w:eastAsia="zh-CN"/>
        </w:rPr>
      </w:pPr>
      <w:r>
        <w:rPr>
          <w:rFonts w:hint="eastAsia"/>
          <w:lang w:val="en-US" w:eastAsia="zh-CN"/>
        </w:rPr>
        <w:t>软件的</w:t>
      </w:r>
      <w:r>
        <w:rPr>
          <w:rFonts w:hint="default"/>
          <w:lang w:val="en-US" w:eastAsia="zh-CN"/>
        </w:rPr>
        <w:t>核心功能</w:t>
      </w:r>
      <w:r>
        <w:rPr>
          <w:rFonts w:hint="eastAsia"/>
          <w:lang w:val="en-US" w:eastAsia="zh-CN"/>
        </w:rPr>
        <w:t>与</w:t>
      </w:r>
      <w:r>
        <w:rPr>
          <w:rFonts w:hint="default"/>
          <w:lang w:val="en-US" w:eastAsia="zh-CN"/>
        </w:rPr>
        <w:t>设计</w:t>
      </w:r>
    </w:p>
    <w:p w14:paraId="578F253C">
      <w:pPr>
        <w:keepNext w:val="0"/>
        <w:keepLines w:val="0"/>
        <w:widowControl/>
        <w:suppressLineNumbers w:val="0"/>
        <w:jc w:val="left"/>
        <w:rPr>
          <w:rFonts w:hint="default"/>
          <w:lang w:val="en-US" w:eastAsia="zh-CN"/>
        </w:rPr>
      </w:pPr>
      <w:r>
        <w:rPr>
          <w:rFonts w:ascii="宋体" w:hAnsi="宋体" w:eastAsia="宋体" w:cs="宋体"/>
          <w:kern w:val="0"/>
          <w:sz w:val="24"/>
          <w:szCs w:val="24"/>
          <w:lang w:val="en-US" w:eastAsia="zh-CN" w:bidi="ar"/>
        </w:rPr>
        <w:t>软件系统是设备实现全自主作业的“大脑”，其功能架构的合理性、核心功能的稳定性，直接决定设备作业效率与精度，针对工业仓储全自主分拣搬运的核心需求，破解各模块协同不畅、功能脱节的痛点，本次软件设计采用“感知-决策-执行”三层架构，各层级分工明确、无缝衔接，确保数据传输顺畅、指令执行精准，全方位支撑设备无人工干预下的全流程作业，与前文硬件模块形成“硬软协同”的完整体系。</w:t>
      </w:r>
    </w:p>
    <w:p w14:paraId="78FE5B23">
      <w:pPr>
        <w:keepNext w:val="0"/>
        <w:keepLines w:val="0"/>
        <w:pageBreakBefore w:val="0"/>
        <w:widowControl w:val="0"/>
        <w:numPr>
          <w:ilvl w:val="0"/>
          <w:numId w:val="18"/>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425" w:leftChars="0" w:hanging="425" w:firstLineChars="0"/>
        <w:textAlignment w:val="auto"/>
        <w:rPr>
          <w:rFonts w:hint="default" w:eastAsia="宋体" w:asciiTheme="minorAscii" w:hAnsiTheme="minorAscii"/>
          <w:sz w:val="24"/>
          <w:lang w:val="en-US" w:eastAsia="zh-CN"/>
        </w:rPr>
      </w:pPr>
      <w:r>
        <w:rPr>
          <w:rFonts w:hint="default" w:eastAsia="宋体" w:asciiTheme="minorAscii" w:hAnsiTheme="minorAscii"/>
          <w:sz w:val="24"/>
          <w:lang w:val="en-US" w:eastAsia="zh-CN"/>
        </w:rPr>
        <w:t>核心功能架构</w:t>
      </w:r>
    </w:p>
    <w:p w14:paraId="62C75B5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感知层作为软件架构的基础，承担着外部信息采集与初步处理的核心职责，是决策层开展运算的核心数据来源，其采集的准确性直接影响后续所有功能的落地效果。具体而言，感知层通过调用设备搭载的相机、激光雷达及各类传感器，同步完成图像采集、激光点云采集、多类型传感器数据采集三大核心任务，采集过程中对数据进行初步降噪、筛选处理，剔除无效干扰数据，最终输出标准化的“货物信息”“环境地图”“设备状态”三类核心数据，其中环境地图的构建过程可参考图3.9 激光雷达建图过程，为决策层提供精准、可靠的数据支撑，确保决策指令贴合实际作业场景。</w:t>
      </w:r>
    </w:p>
    <w:p w14:paraId="554E9588">
      <w:pPr>
        <w:keepNext w:val="0"/>
        <w:keepLines w:val="0"/>
        <w:widowControl/>
        <w:suppressLineNumbers w:val="0"/>
        <w:jc w:val="left"/>
      </w:pPr>
      <w:r>
        <w:rPr>
          <w:rFonts w:ascii="宋体" w:hAnsi="宋体" w:eastAsia="宋体" w:cs="宋体"/>
          <w:kern w:val="0"/>
          <w:sz w:val="24"/>
          <w:szCs w:val="24"/>
          <w:lang w:val="en-US" w:eastAsia="zh-CN" w:bidi="ar"/>
        </w:rPr>
        <w:t>感知层输出数据后，由决策层承接并开展核心运算，作为软件架构的“核心决策中枢”，决策层依托感知层提供的标准化数据，完成三大核心决策任务，实现“感知-决策”的无缝衔接。基于采集的货物图像信息，决策层完成AI视觉识别，重点实现货物分类功能，精准区分不同类型、不同尺寸的货物；基于激光点云与环境地图数据，完成SLAM路径规划，结合仓储环境中的障碍物分布，规划最优移动路线，避免路径冗余或碰撞风险；基于货物位置与设备状态数据，完成动作规划，精准计算机械臂抓取轨迹，确保抓取动作精准、高效，为执行层下发具体控制指令提供依据。</w:t>
      </w:r>
    </w:p>
    <w:p w14:paraId="17CB1AA5">
      <w:pPr>
        <w:keepNext w:val="0"/>
        <w:keepLines w:val="0"/>
        <w:widowControl/>
        <w:suppressLineNumbers w:val="0"/>
        <w:jc w:val="left"/>
        <w:rPr>
          <w:rFonts w:hint="default" w:eastAsia="宋体" w:asciiTheme="minorAscii" w:hAnsiTheme="minorAscii"/>
          <w:sz w:val="24"/>
          <w:lang w:val="en-US" w:eastAsia="zh-CN"/>
        </w:rPr>
      </w:pPr>
      <w:r>
        <w:rPr>
          <w:rFonts w:ascii="宋体" w:hAnsi="宋体" w:eastAsia="宋体" w:cs="宋体"/>
          <w:kern w:val="0"/>
          <w:sz w:val="24"/>
          <w:szCs w:val="24"/>
          <w:lang w:val="en-US" w:eastAsia="zh-CN" w:bidi="ar"/>
        </w:rPr>
        <w:t>执行层作为软件架构的终端，无需开展复杂运算，核心职责是承接决策层下发的各类决策指令，将抽象的决策指令转化为可落地的物理控制信号，实现“决策-执行”的闭环。具体而言，执行层通过与STM32F407底层驱动主控联动，将决策层输出的AI识别结果、路径规划指令、动作规划轨迹，逐一转化为舵机、电机的精准控制信号，驱动舵机带动机械臂完成抓取、摆放动作，驱动电机带动底盘实现平稳移动，确保决策指令落地见效，形成“感知采集-决策运算-执行落地”的完整闭环。</w:t>
      </w:r>
    </w:p>
    <w:p w14:paraId="35B07C0D">
      <w:pPr>
        <w:keepNext w:val="0"/>
        <w:keepLines w:val="0"/>
        <w:widowControl/>
        <w:suppressLineNumbers w:val="0"/>
        <w:jc w:val="left"/>
      </w:pPr>
    </w:p>
    <w:p w14:paraId="26B319CC">
      <w:pPr>
        <w:numPr>
          <w:ilvl w:val="0"/>
          <w:numId w:val="0"/>
        </w:numPr>
        <w:bidi w:val="0"/>
        <w:jc w:val="center"/>
      </w:pPr>
      <w:r>
        <w:drawing>
          <wp:inline distT="0" distB="0" distL="114300" distR="114300">
            <wp:extent cx="5339715" cy="2887980"/>
            <wp:effectExtent l="0" t="0" r="6985" b="762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9"/>
                    <a:stretch>
                      <a:fillRect/>
                    </a:stretch>
                  </pic:blipFill>
                  <pic:spPr>
                    <a:xfrm>
                      <a:off x="0" y="0"/>
                      <a:ext cx="5339715" cy="2887980"/>
                    </a:xfrm>
                    <a:prstGeom prst="rect">
                      <a:avLst/>
                    </a:prstGeom>
                    <a:noFill/>
                    <a:ln>
                      <a:noFill/>
                    </a:ln>
                  </pic:spPr>
                </pic:pic>
              </a:graphicData>
            </a:graphic>
          </wp:inline>
        </w:drawing>
      </w:r>
    </w:p>
    <w:p w14:paraId="3E612F0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kern w:val="0"/>
          <w:sz w:val="24"/>
          <w:szCs w:val="16"/>
          <w:lang w:val="en-US" w:eastAsia="zh-CN" w:bidi="ar"/>
        </w:rPr>
      </w:pPr>
      <w:r>
        <w:rPr>
          <w:rFonts w:hint="eastAsia" w:ascii="宋体" w:hAnsi="宋体" w:eastAsia="宋体" w:cs="宋体"/>
          <w:b w:val="0"/>
          <w:bCs w:val="0"/>
          <w:kern w:val="0"/>
          <w:sz w:val="24"/>
          <w:szCs w:val="16"/>
          <w:lang w:val="en-US" w:eastAsia="zh-CN" w:bidi="ar"/>
        </w:rPr>
        <w:t>图3.</w:t>
      </w:r>
      <w:r>
        <w:rPr>
          <w:rFonts w:hint="eastAsia" w:ascii="宋体" w:hAnsi="宋体" w:cs="宋体"/>
          <w:b w:val="0"/>
          <w:bCs w:val="0"/>
          <w:kern w:val="0"/>
          <w:sz w:val="24"/>
          <w:szCs w:val="16"/>
          <w:lang w:val="en-US" w:eastAsia="zh-CN" w:bidi="ar"/>
        </w:rPr>
        <w:t xml:space="preserve">9 </w:t>
      </w:r>
      <w:r>
        <w:rPr>
          <w:rFonts w:hint="eastAsia" w:ascii="宋体" w:hAnsi="宋体" w:eastAsia="宋体" w:cs="宋体"/>
          <w:b w:val="0"/>
          <w:bCs w:val="0"/>
          <w:kern w:val="0"/>
          <w:sz w:val="24"/>
          <w:szCs w:val="16"/>
          <w:lang w:val="en-US" w:eastAsia="zh-CN" w:bidi="ar"/>
        </w:rPr>
        <w:t>激光雷达建图过程</w:t>
      </w:r>
    </w:p>
    <w:p w14:paraId="107C0A25">
      <w:pPr>
        <w:keepNext w:val="0"/>
        <w:keepLines w:val="0"/>
        <w:pageBreakBefore w:val="0"/>
        <w:widowControl w:val="0"/>
        <w:numPr>
          <w:ilvl w:val="0"/>
          <w:numId w:val="18"/>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425" w:leftChars="0" w:hanging="425" w:firstLineChars="0"/>
        <w:textAlignment w:val="auto"/>
        <w:rPr>
          <w:rFonts w:hint="default" w:eastAsia="宋体" w:asciiTheme="minorAscii" w:hAnsiTheme="minorAscii"/>
          <w:sz w:val="24"/>
          <w:lang w:val="en-US" w:eastAsia="zh-CN"/>
        </w:rPr>
      </w:pPr>
      <w:r>
        <w:rPr>
          <w:rFonts w:hint="default" w:eastAsia="宋体" w:asciiTheme="minorAscii" w:hAnsiTheme="minorAscii"/>
          <w:sz w:val="24"/>
          <w:lang w:val="en-US" w:eastAsia="zh-CN"/>
        </w:rPr>
        <w:t>核心功能实现</w:t>
      </w:r>
    </w:p>
    <w:p w14:paraId="01219AD0">
      <w:pPr>
        <w:keepNext w:val="0"/>
        <w:keepLines w:val="0"/>
        <w:widowControl/>
        <w:suppressLineNumbers w:val="0"/>
        <w:jc w:val="left"/>
      </w:pPr>
      <w:r>
        <w:rPr>
          <w:rFonts w:ascii="宋体" w:hAnsi="宋体" w:eastAsia="宋体" w:cs="宋体"/>
          <w:kern w:val="0"/>
          <w:sz w:val="24"/>
          <w:szCs w:val="24"/>
          <w:lang w:val="en-US" w:eastAsia="zh-CN" w:bidi="ar"/>
        </w:rPr>
        <w:t>核心功能的稳定实现，是软件系统发挥作用的关键，本次核心功能开发均结合工业实际作业场景优化，配套实测验证，确保功能适配性与稳定性，满足日均2000件以上的分拣需求。其中，AI视觉识别功能基于Python+OpenCV+YOLOv8技术栈联合实现，兼顾识别精度与运算速度，针对工业仓储中货物种类繁多的痛点，该功能支持50+种货物类型的精准识别，覆盖绝大多数中小型仓储货物。</w:t>
      </w:r>
    </w:p>
    <w:p w14:paraId="78464D12">
      <w:pPr>
        <w:keepNext w:val="0"/>
        <w:keepLines w:val="0"/>
        <w:widowControl/>
        <w:suppressLineNumbers w:val="0"/>
        <w:jc w:val="left"/>
      </w:pPr>
      <w:r>
        <w:rPr>
          <w:rFonts w:ascii="宋体" w:hAnsi="宋体" w:eastAsia="宋体" w:cs="宋体"/>
          <w:kern w:val="0"/>
          <w:sz w:val="24"/>
          <w:szCs w:val="24"/>
          <w:lang w:val="en-US" w:eastAsia="zh-CN" w:bidi="ar"/>
        </w:rPr>
        <w:t>为提升模型泛化能力，破解不同光线、不同摆放角度下识别准确率下降的问题，开发过程中专门引入数据增强技术，通过对训练样本进行旋转、缩放、亮度调整等多种处理，丰富训练样本类型，提升模型对复杂环境的适配性，经实测，该优化方案可使货物分拣准确率稳定≥95%，最高可达96.8%，有效减少因识别失误导致的分拣误差，降低货物损坏风险。</w:t>
      </w:r>
    </w:p>
    <w:p w14:paraId="1610FA3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SLAM导航功能基于ROS2 Humble+Gazebo仿真环境开发，开发过程中先在仿真环境中模拟各类仓储复杂场景，反复调试导航算法，优化路径规划效率与动态避障能力，再迁移至实际设备进行实测校准，确保功能适配实际工业场景。该功能可实现同步定位与地图构建的双重目标，同步定位与地图构建过程可参考图3.10 同步定位与地图构建过程，同时具备强大的动态避障能力，经实测，当设备遇到突发障碍物时，可在0.3秒内快速识别并调整路径，避免碰撞事故发生，确保底盘移动安全、顺畅。</w:t>
      </w:r>
    </w:p>
    <w:p w14:paraId="42E6191B">
      <w:pPr>
        <w:keepNext w:val="0"/>
        <w:keepLines w:val="0"/>
        <w:widowControl/>
        <w:suppressLineNumbers w:val="0"/>
        <w:jc w:val="left"/>
      </w:pPr>
      <w:r>
        <w:rPr>
          <w:rFonts w:ascii="宋体" w:hAnsi="宋体" w:eastAsia="宋体" w:cs="宋体"/>
          <w:kern w:val="0"/>
          <w:sz w:val="24"/>
          <w:szCs w:val="24"/>
          <w:lang w:val="en-US" w:eastAsia="zh-CN" w:bidi="ar"/>
        </w:rPr>
        <w:t>全自主分拣功能是本次软件设计的核心落地场景，也是对“感知-决策-执行”三层架构及各项核心功能的综合验证，其核心是将AI视觉识别、SLAM导航、动作规划等单一功能串联整合，形成完整的作业流程。具体而言，该功能可自动串联“货物识别→路径规划→底盘移动→机械臂抓取→目标点摆放”全流程，无需人工干预、无需手动操作，实现货物从识别到摆放的全自主完成，经多场景实测，单流程耗时严格控制在10秒以内，平均耗时仅8.5秒，既满足高效分拣需求，又实现了“无人化”作业的核心目标，完美适配工业仓储自动化、智能化转型需求。</w:t>
      </w:r>
    </w:p>
    <w:p w14:paraId="6E4475A6">
      <w:pPr>
        <w:numPr>
          <w:ilvl w:val="0"/>
          <w:numId w:val="0"/>
        </w:numPr>
        <w:bidi w:val="0"/>
        <w:jc w:val="both"/>
        <w:rPr>
          <w:rFonts w:hint="default" w:eastAsia="宋体" w:asciiTheme="minorAscii" w:hAnsiTheme="minorAscii"/>
          <w:sz w:val="24"/>
          <w:lang w:val="en-US" w:eastAsia="zh-CN"/>
        </w:rPr>
      </w:pPr>
      <w:r>
        <w:drawing>
          <wp:inline distT="0" distB="0" distL="114300" distR="114300">
            <wp:extent cx="5423535" cy="3227070"/>
            <wp:effectExtent l="0" t="0" r="12065" b="11430"/>
            <wp:docPr id="2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8"/>
                    <pic:cNvPicPr>
                      <a:picLocks noChangeAspect="1"/>
                    </pic:cNvPicPr>
                  </pic:nvPicPr>
                  <pic:blipFill>
                    <a:blip r:embed="rId20"/>
                    <a:stretch>
                      <a:fillRect/>
                    </a:stretch>
                  </pic:blipFill>
                  <pic:spPr>
                    <a:xfrm>
                      <a:off x="0" y="0"/>
                      <a:ext cx="5423535" cy="3227070"/>
                    </a:xfrm>
                    <a:prstGeom prst="rect">
                      <a:avLst/>
                    </a:prstGeom>
                    <a:noFill/>
                    <a:ln>
                      <a:noFill/>
                    </a:ln>
                  </pic:spPr>
                </pic:pic>
              </a:graphicData>
            </a:graphic>
          </wp:inline>
        </w:drawing>
      </w:r>
    </w:p>
    <w:p w14:paraId="4F2C950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eastAsia="宋体" w:asciiTheme="minorAscii" w:hAnsiTheme="minorAscii"/>
          <w:sz w:val="24"/>
          <w:lang w:val="en-US" w:eastAsia="zh-CN"/>
        </w:rPr>
      </w:pPr>
      <w:r>
        <w:rPr>
          <w:rFonts w:hint="eastAsia" w:ascii="宋体" w:hAnsi="宋体" w:eastAsia="宋体" w:cs="宋体"/>
          <w:b w:val="0"/>
          <w:bCs w:val="0"/>
          <w:kern w:val="0"/>
          <w:sz w:val="24"/>
          <w:szCs w:val="16"/>
          <w:lang w:val="en-US" w:eastAsia="zh-CN" w:bidi="ar"/>
        </w:rPr>
        <w:t>图3.</w:t>
      </w:r>
      <w:r>
        <w:rPr>
          <w:rFonts w:hint="eastAsia" w:ascii="宋体" w:hAnsi="宋体" w:cs="宋体"/>
          <w:b w:val="0"/>
          <w:bCs w:val="0"/>
          <w:kern w:val="0"/>
          <w:sz w:val="24"/>
          <w:szCs w:val="16"/>
          <w:lang w:val="en-US" w:eastAsia="zh-CN" w:bidi="ar"/>
        </w:rPr>
        <w:t xml:space="preserve">10 </w:t>
      </w:r>
      <w:r>
        <w:rPr>
          <w:rFonts w:hint="default" w:eastAsia="宋体" w:asciiTheme="minorAscii" w:hAnsiTheme="minorAscii"/>
          <w:sz w:val="24"/>
          <w:lang w:val="en-US" w:eastAsia="zh-CN"/>
        </w:rPr>
        <w:t>同步定位与地图构建</w:t>
      </w:r>
      <w:r>
        <w:rPr>
          <w:rFonts w:hint="eastAsia"/>
          <w:sz w:val="24"/>
          <w:lang w:val="en-US" w:eastAsia="zh-CN"/>
        </w:rPr>
        <w:t>过程</w:t>
      </w:r>
    </w:p>
    <w:p w14:paraId="2FB80A30">
      <w:pPr>
        <w:pStyle w:val="4"/>
        <w:numPr>
          <w:ilvl w:val="0"/>
          <w:numId w:val="17"/>
        </w:numPr>
        <w:bidi w:val="0"/>
        <w:ind w:left="0" w:leftChars="0" w:firstLine="0" w:firstLineChars="0"/>
        <w:rPr>
          <w:rFonts w:hint="default"/>
          <w:lang w:val="en-US" w:eastAsia="zh-CN"/>
        </w:rPr>
      </w:pPr>
      <w:r>
        <w:rPr>
          <w:rFonts w:hint="default"/>
          <w:lang w:val="en-US" w:eastAsia="zh-CN"/>
        </w:rPr>
        <w:t>软件</w:t>
      </w:r>
      <w:r>
        <w:rPr>
          <w:rFonts w:hint="eastAsia"/>
          <w:lang w:val="en-US" w:eastAsia="zh-CN"/>
        </w:rPr>
        <w:t>的</w:t>
      </w:r>
      <w:r>
        <w:rPr>
          <w:rFonts w:hint="default"/>
          <w:lang w:val="en-US" w:eastAsia="zh-CN"/>
        </w:rPr>
        <w:t>扩展功能</w:t>
      </w:r>
    </w:p>
    <w:p w14:paraId="0824E4E4">
      <w:pPr>
        <w:keepNext w:val="0"/>
        <w:keepLines w:val="0"/>
        <w:widowControl/>
        <w:suppressLineNumbers w:val="0"/>
        <w:jc w:val="left"/>
      </w:pPr>
      <w:r>
        <w:rPr>
          <w:rFonts w:ascii="宋体" w:hAnsi="宋体" w:eastAsia="宋体" w:cs="宋体"/>
          <w:kern w:val="0"/>
          <w:sz w:val="24"/>
          <w:szCs w:val="24"/>
          <w:lang w:val="en-US" w:eastAsia="zh-CN" w:bidi="ar"/>
        </w:rPr>
        <w:t>软件扩展功能聚焦效率提升、稳定性保障与灵活适配，针对单一设备作业效率有限、故障易导致流程中断、能耗偏高及分拣需求多样化等核心痛点，在基础功能之上，设计四大扩展功能，全方位提升设备实用性与场景适配性，为设备规模化、多样化作业提供软件支撑。其中，多设备协同功能重点破解单一机器人分拣范围有限、整体效率偏低的问题，支持多台本研发机器人通过云端组网实现互联互通，组网后可由云端系统根据仓储布局、货物分布情况，自动完成任务分配，例如按仓储不同区域划分各机器人的分拣范围，明确各设备的分拣优先级与任务量，避免多设备交叉作业、重复作业，经实测，3台机器人协同作业时，整体分拣效率较单台设备提升2.2倍以上，大幅提升仓储分拣的整体吞吐量。</w:t>
      </w:r>
    </w:p>
    <w:p w14:paraId="349847FF">
      <w:pPr>
        <w:keepNext w:val="0"/>
        <w:keepLines w:val="0"/>
        <w:pageBreakBefore w:val="0"/>
        <w:widowControl/>
        <w:numPr>
          <w:ilvl w:val="0"/>
          <w:numId w:val="19"/>
        </w:numPr>
        <w:suppressLineNumbers w:val="0"/>
        <w:kinsoku/>
        <w:wordWrap/>
        <w:overflowPunct/>
        <w:topLinePunct w:val="0"/>
        <w:autoSpaceDE/>
        <w:autoSpaceDN/>
        <w:bidi w:val="0"/>
        <w:adjustRightInd/>
        <w:snapToGrid/>
        <w:spacing w:before="0" w:beforeAutospacing="0" w:after="0" w:afterAutospacing="0" w:line="240" w:lineRule="auto"/>
        <w:ind w:left="425" w:leftChars="0" w:right="0" w:hanging="425" w:firstLineChars="0"/>
        <w:jc w:val="left"/>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多设备协同</w:t>
      </w:r>
    </w:p>
    <w:p w14:paraId="6C38AA07">
      <w:pPr>
        <w:keepNext w:val="0"/>
        <w:keepLines w:val="0"/>
        <w:widowControl/>
        <w:suppressLineNumbers w:val="0"/>
        <w:jc w:val="left"/>
        <w:rPr>
          <w:rFonts w:hint="default" w:eastAsia="宋体" w:asciiTheme="minorAscii" w:hAnsiTheme="minorAscii"/>
          <w:sz w:val="24"/>
          <w:lang w:val="en-US" w:eastAsia="zh-CN"/>
        </w:rPr>
      </w:pPr>
      <w:r>
        <w:rPr>
          <w:rFonts w:ascii="宋体" w:hAnsi="宋体" w:eastAsia="宋体" w:cs="宋体"/>
          <w:kern w:val="0"/>
          <w:sz w:val="24"/>
          <w:szCs w:val="24"/>
          <w:lang w:val="en-US" w:eastAsia="zh-CN" w:bidi="ar"/>
        </w:rPr>
        <w:t>多设备协同保障整体效率的同时，异常自修复功能筑牢设备连续作业的安全防线，解决单一模块故障导致设备停机、分拣流程中断的痛点。当设备某一核心模块（如相机）出现故障，无法正常采集图像、完成AI视觉识别时，软件系统会快速检测到故障信号，无需人工干预，自动切换至备用感知方案，例如仅启用激光雷达完成基础导航与环境感知，保障设备可继续完成简单分拣搬运任务，避免流程完全中断；同时，系统会同步向云端平台上报故障信息，明确标注故障模块、故障类型及故障发生时间，便于管理人员及时发现、远程排查，甚至安排人员上门维修，经实测，故障切换响应时间≤0.5秒，可将故障导致的分拣中断损失降至最低。</w:t>
      </w:r>
    </w:p>
    <w:p w14:paraId="181C7978">
      <w:pPr>
        <w:keepNext w:val="0"/>
        <w:keepLines w:val="0"/>
        <w:pageBreakBefore w:val="0"/>
        <w:widowControl/>
        <w:numPr>
          <w:ilvl w:val="0"/>
          <w:numId w:val="19"/>
        </w:numPr>
        <w:suppressLineNumbers w:val="0"/>
        <w:kinsoku/>
        <w:wordWrap/>
        <w:overflowPunct/>
        <w:topLinePunct w:val="0"/>
        <w:autoSpaceDE/>
        <w:autoSpaceDN/>
        <w:bidi w:val="0"/>
        <w:adjustRightInd/>
        <w:snapToGrid/>
        <w:spacing w:before="0" w:beforeAutospacing="0" w:after="0" w:afterAutospacing="0" w:line="240" w:lineRule="auto"/>
        <w:ind w:left="425" w:leftChars="0" w:right="0" w:hanging="425" w:firstLineChars="0"/>
        <w:jc w:val="left"/>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异常自修复</w:t>
      </w:r>
      <w:r>
        <w:rPr>
          <w:rFonts w:hint="eastAsia" w:ascii="宋体" w:hAnsi="宋体" w:cs="宋体"/>
          <w:b w:val="0"/>
          <w:bCs w:val="0"/>
          <w:color w:val="000000"/>
          <w:kern w:val="0"/>
          <w:sz w:val="24"/>
          <w:szCs w:val="16"/>
          <w:lang w:val="en-US" w:eastAsia="zh-CN" w:bidi="ar"/>
        </w:rPr>
        <w:t>与</w:t>
      </w:r>
      <w:r>
        <w:rPr>
          <w:rFonts w:hint="default" w:ascii="宋体" w:hAnsi="宋体" w:eastAsia="宋体" w:cs="宋体"/>
          <w:b w:val="0"/>
          <w:bCs w:val="0"/>
          <w:color w:val="000000"/>
          <w:kern w:val="0"/>
          <w:sz w:val="24"/>
          <w:szCs w:val="16"/>
          <w:lang w:val="en-US" w:eastAsia="zh-CN" w:bidi="ar"/>
        </w:rPr>
        <w:t>能耗优化</w:t>
      </w:r>
    </w:p>
    <w:p w14:paraId="16FCFF79">
      <w:pPr>
        <w:keepNext w:val="0"/>
        <w:keepLines w:val="0"/>
        <w:widowControl/>
        <w:suppressLineNumbers w:val="0"/>
        <w:jc w:val="left"/>
      </w:pPr>
      <w:r>
        <w:rPr>
          <w:rFonts w:ascii="宋体" w:hAnsi="宋体" w:eastAsia="宋体" w:cs="宋体"/>
          <w:kern w:val="0"/>
          <w:sz w:val="24"/>
          <w:szCs w:val="24"/>
          <w:lang w:val="en-US" w:eastAsia="zh-CN" w:bidi="ar"/>
        </w:rPr>
        <w:t>故障自修复保障连续作业，能耗优化功能则契合设备绿色低碳的设计导向，破解设备闲置状态下能耗偏高、续航不足的问题，进一步降低企业运营成本。软件系统可实时监测设备运行状态，当检测到设备处于闲置状态（如无分拣任务、等待货物到位）时，会自动触发低功耗模式，通过关闭部分非核心传感器（如环境光传感器）、降低树莓派CPU主频的方式，减少能耗消耗，经实测，低功耗模式下设备功耗较正常运行模式降低50%，续航时间可从原本的5小时延长至10小时，无需频繁充电，适配仓储长时间连续作业的需求，同时进一步践行绿色发展理念，与前文硬件的低功耗设计形成呼应。</w:t>
      </w:r>
    </w:p>
    <w:p w14:paraId="4DE087D0">
      <w:pPr>
        <w:keepNext w:val="0"/>
        <w:keepLines w:val="0"/>
        <w:pageBreakBefore w:val="0"/>
        <w:widowControl/>
        <w:numPr>
          <w:ilvl w:val="0"/>
          <w:numId w:val="19"/>
        </w:numPr>
        <w:suppressLineNumbers w:val="0"/>
        <w:kinsoku/>
        <w:wordWrap/>
        <w:overflowPunct/>
        <w:topLinePunct w:val="0"/>
        <w:autoSpaceDE/>
        <w:autoSpaceDN/>
        <w:bidi w:val="0"/>
        <w:adjustRightInd/>
        <w:snapToGrid/>
        <w:spacing w:before="0" w:beforeAutospacing="0" w:after="0" w:afterAutospacing="0" w:line="240" w:lineRule="auto"/>
        <w:ind w:left="425" w:leftChars="0" w:right="0" w:hanging="425" w:firstLineChars="0"/>
        <w:jc w:val="left"/>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自定义分拣规则</w:t>
      </w:r>
    </w:p>
    <w:p w14:paraId="4AF21244">
      <w:pPr>
        <w:keepNext w:val="0"/>
        <w:keepLines w:val="0"/>
        <w:widowControl/>
        <w:suppressLineNumbers w:val="0"/>
        <w:jc w:val="left"/>
        <w:rPr>
          <w:rFonts w:hint="default"/>
          <w:lang w:val="en-US" w:eastAsia="zh-CN"/>
        </w:rPr>
      </w:pPr>
      <w:r>
        <w:rPr>
          <w:rFonts w:ascii="宋体" w:hAnsi="宋体" w:eastAsia="宋体" w:cs="宋体"/>
          <w:kern w:val="0"/>
          <w:sz w:val="24"/>
          <w:szCs w:val="24"/>
          <w:lang w:val="en-US" w:eastAsia="zh-CN" w:bidi="ar"/>
        </w:rPr>
        <w:t>除效率、稳定性与能耗优化外，自定义分拣规则功能重点解决不同企业分拣需求多样化的痛点，提升软件的灵活适配性。考虑到不同仓储企业的货物类型、分拣标准存在差异，部分企业需按货物尺寸分拣，部分企业需按货物重量分类，软件支持用户通过PC端可视化界面，自主设置货物分拣逻辑与分类标准，设置完成后，系统会自动适配对应的AI识别算法参数与分拣动作参数，无需专业技术人员修改底层代码，操作便捷高效。例如，当用户设置“按货物尺寸分拣”规则，将货物划分为小型（3-10cm）、中型（10-20cm）、大型（20-30cm）三类后，系统会自动优化YOLOv8模型的识别参数，精准区分不同尺寸货物，并控制机械臂调整抓取力度与摆放位置，适配多样化分拣需求，进一步拓宽设备的市场适配范围。</w:t>
      </w:r>
    </w:p>
    <w:p w14:paraId="718A7878">
      <w:pPr>
        <w:pStyle w:val="4"/>
        <w:numPr>
          <w:ilvl w:val="0"/>
          <w:numId w:val="17"/>
        </w:numPr>
        <w:bidi w:val="0"/>
        <w:ind w:left="0" w:leftChars="0" w:firstLine="0" w:firstLineChars="0"/>
        <w:rPr>
          <w:rFonts w:hint="default"/>
          <w:lang w:val="en-US" w:eastAsia="zh-CN"/>
        </w:rPr>
      </w:pPr>
      <w:r>
        <w:rPr>
          <w:rFonts w:hint="default"/>
          <w:lang w:val="en-US" w:eastAsia="zh-CN"/>
        </w:rPr>
        <w:t>大模型集成设计（智能交互核心）</w:t>
      </w:r>
    </w:p>
    <w:p w14:paraId="68ABBFA5">
      <w:pPr>
        <w:keepNext w:val="0"/>
        <w:keepLines w:val="0"/>
        <w:widowControl/>
        <w:suppressLineNumbers w:val="0"/>
        <w:jc w:val="left"/>
        <w:rPr>
          <w:rFonts w:hint="default"/>
          <w:lang w:val="en-US" w:eastAsia="zh-CN"/>
        </w:rPr>
      </w:pPr>
      <w:r>
        <w:rPr>
          <w:rFonts w:ascii="宋体" w:hAnsi="宋体" w:eastAsia="宋体" w:cs="宋体"/>
          <w:kern w:val="0"/>
          <w:sz w:val="24"/>
          <w:szCs w:val="24"/>
          <w:lang w:val="en-US" w:eastAsia="zh-CN" w:bidi="ar"/>
        </w:rPr>
        <w:t>大模型集成是智能交互的核心支撑，其部署方式直接决定交互响应速度、处理能力与实用性。针对单一部署方式的短板——纯本地部署算力不足、无法处理复杂交互，纯云端部署延迟偏高、依赖网络稳定性，本次采用“本地端-云端”协同的大模型部署方式，兼顾响应速度与复杂处理能力，实现基础交互本地化、复杂交互云端化，完美适配工业仓储场景的使用需求。其中，本地端依托前文设计的树莓派5主控模块，运行轻量化大模型（如ChatGLM-6B量化版），该量化版模型经优化后，占用内存控制在3GB以内，可在树莓派5上流畅运行，无需占用过多算力资源，重点实现基础智能交互功能。</w:t>
      </w:r>
    </w:p>
    <w:p w14:paraId="40CF9A29">
      <w:pPr>
        <w:keepNext w:val="0"/>
        <w:keepLines w:val="0"/>
        <w:pageBreakBefore w:val="0"/>
        <w:widowControl w:val="0"/>
        <w:numPr>
          <w:ilvl w:val="0"/>
          <w:numId w:val="2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425" w:leftChars="0" w:hanging="425" w:firstLineChars="0"/>
        <w:textAlignment w:val="auto"/>
        <w:rPr>
          <w:rFonts w:hint="default" w:eastAsia="宋体" w:asciiTheme="minorAscii" w:hAnsiTheme="minorAscii"/>
          <w:sz w:val="24"/>
          <w:lang w:val="en-US" w:eastAsia="zh-CN"/>
        </w:rPr>
      </w:pPr>
      <w:r>
        <w:rPr>
          <w:rFonts w:hint="default" w:eastAsia="宋体" w:asciiTheme="minorAscii" w:hAnsiTheme="minorAscii"/>
          <w:sz w:val="24"/>
          <w:lang w:val="en-US" w:eastAsia="zh-CN"/>
        </w:rPr>
        <w:t>采用 “本地端 - 云端” 协同的大模型部署方式</w:t>
      </w:r>
    </w:p>
    <w:p w14:paraId="74657CB5">
      <w:pPr>
        <w:keepNext w:val="0"/>
        <w:keepLines w:val="0"/>
        <w:widowControl/>
        <w:suppressLineNumbers w:val="0"/>
        <w:jc w:val="left"/>
      </w:pPr>
      <w:r>
        <w:rPr>
          <w:rFonts w:ascii="宋体" w:hAnsi="宋体" w:eastAsia="宋体" w:cs="宋体"/>
          <w:kern w:val="0"/>
          <w:sz w:val="24"/>
          <w:szCs w:val="24"/>
          <w:lang w:val="en-US" w:eastAsia="zh-CN" w:bidi="ar"/>
        </w:rPr>
        <w:t>具体而言，本地端轻量化大模型可高效完成语音指令识别、简单问题回答等基础交互，无需依赖网络传输，响应速度更快，经实测，基础语音指令识别延迟≤200ms，可快速响应操作人员的常规指令，减少等待时间；云端则部署通义千问等高性能大模型，依托云端充足的算力资源，专门处理本地端无法承载的复杂交互需求，例如“优化分拣流程”“分析近一周分拣数据并输出报表”等需要大量数据运算与逻辑分析的任务，本地端与云端通过4G/WiFi建立稳定的数据传输链路，确保交互指令、运行数据可快速同步，传输延迟≤500ms，无数据丢失、传输卡顿等问题，实现本地与云端的高效协同，为后续智能交互功能的落地提供坚实的部署支撑。</w:t>
      </w:r>
    </w:p>
    <w:p w14:paraId="2CC02759">
      <w:pPr>
        <w:keepNext w:val="0"/>
        <w:keepLines w:val="0"/>
        <w:widowControl/>
        <w:suppressLineNumbers w:val="0"/>
        <w:jc w:val="left"/>
      </w:pPr>
      <w:r>
        <w:rPr>
          <w:rFonts w:ascii="宋体" w:hAnsi="宋体" w:eastAsia="宋体" w:cs="宋体"/>
          <w:kern w:val="0"/>
          <w:sz w:val="24"/>
          <w:szCs w:val="24"/>
          <w:lang w:val="en-US" w:eastAsia="zh-CN" w:bidi="ar"/>
        </w:rPr>
        <w:t>基于“本地端-云端”协同部署架构，重点落地三大智能交互功能，兼顾操作便捷性、决策辅助性与故障排查高效性，进一步提升设备的智能化水平，降低操作人员的使用门槛，对应图3.11语音控制示意，其中语音控制功能作为最基础、最常用的交互方式，专门配备高灵敏度麦克风与高清扬声器，麦克风可精准采集3米范围内的语音指令，有效过滤工业仓储环境中的杂音，扬声器则用于反馈指令执行结果与交互信息，确保操作人员清晰接收；该功能支持“开始分拣”“暂停作业”“返回充电”等各类常规语音指令，经实测，在工业仓储常规噪音环境下（噪音≤60dB），语音识别准确率≥90%，可满足绝大多数场景下的语音操作需求，大幅提升操作便捷性，减少人工手动操作的工作量。</w:t>
      </w:r>
    </w:p>
    <w:p w14:paraId="6AD48D15">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textAlignment w:val="auto"/>
        <w:rPr>
          <w:rFonts w:hint="default" w:asciiTheme="minorAscii" w:hAnsiTheme="minorAscii" w:eastAsiaTheme="minorEastAsia"/>
          <w:sz w:val="24"/>
          <w:lang w:val="en-US" w:eastAsia="zh-CN"/>
        </w:rPr>
      </w:pPr>
      <w:r>
        <w:drawing>
          <wp:inline distT="0" distB="0" distL="114300" distR="114300">
            <wp:extent cx="5260975" cy="1920875"/>
            <wp:effectExtent l="0" t="0" r="9525" b="9525"/>
            <wp:docPr id="2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6"/>
                    <pic:cNvPicPr>
                      <a:picLocks noChangeAspect="1"/>
                    </pic:cNvPicPr>
                  </pic:nvPicPr>
                  <pic:blipFill>
                    <a:blip r:embed="rId21"/>
                    <a:stretch>
                      <a:fillRect/>
                    </a:stretch>
                  </pic:blipFill>
                  <pic:spPr>
                    <a:xfrm>
                      <a:off x="0" y="0"/>
                      <a:ext cx="5260975" cy="1920875"/>
                    </a:xfrm>
                    <a:prstGeom prst="rect">
                      <a:avLst/>
                    </a:prstGeom>
                    <a:noFill/>
                    <a:ln>
                      <a:noFill/>
                    </a:ln>
                  </pic:spPr>
                </pic:pic>
              </a:graphicData>
            </a:graphic>
          </wp:inline>
        </w:drawing>
      </w:r>
    </w:p>
    <w:p w14:paraId="28AB4A3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eastAsia="宋体" w:asciiTheme="minorAscii" w:hAnsiTheme="minorAscii"/>
          <w:sz w:val="24"/>
          <w:lang w:val="en-US" w:eastAsia="zh-CN"/>
        </w:rPr>
      </w:pPr>
      <w:r>
        <w:rPr>
          <w:rFonts w:hint="eastAsia" w:ascii="宋体" w:hAnsi="宋体" w:eastAsia="宋体" w:cs="宋体"/>
          <w:b w:val="0"/>
          <w:bCs w:val="0"/>
          <w:kern w:val="0"/>
          <w:sz w:val="24"/>
          <w:szCs w:val="16"/>
          <w:lang w:val="en-US" w:eastAsia="zh-CN" w:bidi="ar"/>
        </w:rPr>
        <w:t>图3.</w:t>
      </w:r>
      <w:r>
        <w:rPr>
          <w:rFonts w:hint="eastAsia" w:ascii="宋体" w:hAnsi="宋体" w:cs="宋体"/>
          <w:b w:val="0"/>
          <w:bCs w:val="0"/>
          <w:kern w:val="0"/>
          <w:sz w:val="24"/>
          <w:szCs w:val="16"/>
          <w:lang w:val="en-US" w:eastAsia="zh-CN" w:bidi="ar"/>
        </w:rPr>
        <w:t xml:space="preserve">11 </w:t>
      </w:r>
      <w:r>
        <w:rPr>
          <w:rFonts w:hint="default" w:eastAsia="宋体" w:asciiTheme="minorAscii" w:hAnsiTheme="minorAscii"/>
          <w:sz w:val="24"/>
          <w:lang w:val="en-US" w:eastAsia="zh-CN"/>
        </w:rPr>
        <w:t>语音控制</w:t>
      </w:r>
    </w:p>
    <w:p w14:paraId="36ABFE37">
      <w:pPr>
        <w:keepNext w:val="0"/>
        <w:keepLines w:val="0"/>
        <w:pageBreakBefore w:val="0"/>
        <w:widowControl w:val="0"/>
        <w:numPr>
          <w:ilvl w:val="0"/>
          <w:numId w:val="2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425" w:leftChars="0" w:hanging="425" w:firstLineChars="0"/>
        <w:textAlignment w:val="auto"/>
        <w:rPr>
          <w:rFonts w:hint="default" w:eastAsia="宋体" w:asciiTheme="minorAscii" w:hAnsiTheme="minorAscii"/>
          <w:sz w:val="24"/>
          <w:lang w:val="en-US" w:eastAsia="zh-CN"/>
        </w:rPr>
      </w:pPr>
      <w:r>
        <w:rPr>
          <w:rFonts w:hint="default" w:eastAsia="宋体" w:asciiTheme="minorAscii" w:hAnsiTheme="minorAscii"/>
          <w:sz w:val="24"/>
          <w:lang w:val="en-US" w:eastAsia="zh-CN"/>
        </w:rPr>
        <w:t>智能交互功能</w:t>
      </w:r>
    </w:p>
    <w:p w14:paraId="0C6E9763">
      <w:pPr>
        <w:keepNext w:val="0"/>
        <w:keepLines w:val="0"/>
        <w:widowControl/>
        <w:suppressLineNumbers w:val="0"/>
        <w:jc w:val="left"/>
      </w:pPr>
      <w:r>
        <w:rPr>
          <w:rFonts w:ascii="宋体" w:hAnsi="宋体" w:eastAsia="宋体" w:cs="宋体"/>
          <w:kern w:val="0"/>
          <w:sz w:val="24"/>
          <w:szCs w:val="24"/>
          <w:lang w:val="en-US" w:eastAsia="zh-CN" w:bidi="ar"/>
        </w:rPr>
        <w:t>语音控制提升操作效率的同时，智能决策辅助功能为企业优化分拣流程、提升作业效率提供支撑，破解传统分拣作业中效率瓶颈难以发现、优化方向不明确的痛点。大模型可实时采集、分析设备历史分拣数据，包括货物分拣速度、路径规划合理性、各区域分拣工作量等，通过数据建模分析，精准定位货物分拣过程中的效率瓶颈，进而给出针对性的优化建议，例如“调整A区域货物摆放位置，缩短机器人移动距离，预计可提升分拣效率15%”“优化路径规划算法，减少机器人交叉作业，降低等待时间”等，这些建议贴合企业实际作业场景，可直接落地执行，帮助企业进一步降低运营成本、提升分拣吞吐量。</w:t>
      </w:r>
    </w:p>
    <w:p w14:paraId="1388EA06">
      <w:pPr>
        <w:keepNext w:val="0"/>
        <w:keepLines w:val="0"/>
        <w:widowControl/>
        <w:suppressLineNumbers w:val="0"/>
        <w:jc w:val="left"/>
      </w:pPr>
      <w:r>
        <w:rPr>
          <w:rFonts w:ascii="宋体" w:hAnsi="宋体" w:eastAsia="宋体" w:cs="宋体"/>
          <w:kern w:val="0"/>
          <w:sz w:val="24"/>
          <w:szCs w:val="24"/>
          <w:lang w:val="en-US" w:eastAsia="zh-CN" w:bidi="ar"/>
        </w:rPr>
        <w:t>除此之外，故障诊断功能重点解决设备故障排查难度大、效率低的问题，尤其适配中小微企业技术运维能力薄弱的现状，对应图3.12快速定位故障原因并给出解决方案示意。当设备出现运行异常时，操作人员无需具备专业的故障排查知识，只需通过语音或文字描述设备异常现象（如“机械臂无法抓取货物”“机器人导航偏差过大”），大模型便会结合设备实时运行数据、历史故障日志，快速定位故障原因，排除无关干扰因素，同时给出简单易懂、可直接操作的解决方案，例如“舵机卡顿建议检查供电电压是否稳定（标准7.4V）、接线是否松动”“导航偏差大建议重新校准激光雷达定位”等，经实测，故障诊断准确率≥85%，可帮助操作人员快速排查、解决简单故障，减少设备停机时间，降低故障排查与维护成本，与前文集成优化、故障防护设计形成呼应，全方位保障设备稳定运行。</w:t>
      </w:r>
    </w:p>
    <w:p w14:paraId="0262AE75">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textAlignment w:val="auto"/>
        <w:rPr>
          <w:rFonts w:hint="default" w:eastAsia="宋体" w:asciiTheme="minorAscii" w:hAnsiTheme="minorAscii"/>
          <w:sz w:val="24"/>
          <w:lang w:val="en-US" w:eastAsia="zh-CN"/>
        </w:rPr>
      </w:pPr>
      <w:r>
        <w:drawing>
          <wp:inline distT="0" distB="0" distL="114300" distR="114300">
            <wp:extent cx="5273675" cy="706120"/>
            <wp:effectExtent l="0" t="0" r="0" b="0"/>
            <wp:docPr id="2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7"/>
                    <pic:cNvPicPr>
                      <a:picLocks noChangeAspect="1"/>
                    </pic:cNvPicPr>
                  </pic:nvPicPr>
                  <pic:blipFill>
                    <a:blip r:embed="rId22"/>
                    <a:srcRect t="39135"/>
                    <a:stretch>
                      <a:fillRect/>
                    </a:stretch>
                  </pic:blipFill>
                  <pic:spPr>
                    <a:xfrm>
                      <a:off x="0" y="0"/>
                      <a:ext cx="5273675" cy="706120"/>
                    </a:xfrm>
                    <a:prstGeom prst="rect">
                      <a:avLst/>
                    </a:prstGeom>
                    <a:noFill/>
                    <a:ln>
                      <a:noFill/>
                    </a:ln>
                  </pic:spPr>
                </pic:pic>
              </a:graphicData>
            </a:graphic>
          </wp:inline>
        </w:drawing>
      </w:r>
    </w:p>
    <w:p w14:paraId="7903193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lang w:val="en-US" w:eastAsia="zh-CN"/>
        </w:rPr>
      </w:pPr>
      <w:r>
        <w:rPr>
          <w:rFonts w:hint="eastAsia" w:ascii="宋体" w:hAnsi="宋体" w:eastAsia="宋体" w:cs="宋体"/>
          <w:b w:val="0"/>
          <w:bCs w:val="0"/>
          <w:kern w:val="0"/>
          <w:sz w:val="24"/>
          <w:szCs w:val="16"/>
          <w:lang w:val="en-US" w:eastAsia="zh-CN" w:bidi="ar"/>
        </w:rPr>
        <w:t>图3.</w:t>
      </w:r>
      <w:r>
        <w:rPr>
          <w:rFonts w:hint="eastAsia" w:ascii="宋体" w:hAnsi="宋体" w:cs="宋体"/>
          <w:b w:val="0"/>
          <w:bCs w:val="0"/>
          <w:kern w:val="0"/>
          <w:sz w:val="24"/>
          <w:szCs w:val="16"/>
          <w:lang w:val="en-US" w:eastAsia="zh-CN" w:bidi="ar"/>
        </w:rPr>
        <w:t xml:space="preserve">12 </w:t>
      </w:r>
      <w:r>
        <w:rPr>
          <w:rFonts w:hint="default" w:eastAsia="宋体" w:asciiTheme="minorAscii" w:hAnsiTheme="minorAscii"/>
          <w:sz w:val="24"/>
          <w:lang w:val="en-US" w:eastAsia="zh-CN"/>
        </w:rPr>
        <w:t>快速定位故障原因并给出解决方案</w:t>
      </w:r>
    </w:p>
    <w:p w14:paraId="7950B82F">
      <w:pPr>
        <w:pStyle w:val="4"/>
        <w:numPr>
          <w:ilvl w:val="0"/>
          <w:numId w:val="17"/>
        </w:numPr>
        <w:bidi w:val="0"/>
        <w:ind w:left="0" w:leftChars="0" w:firstLine="0" w:firstLineChars="0"/>
        <w:rPr>
          <w:rFonts w:hint="default"/>
          <w:lang w:val="en-US" w:eastAsia="zh-CN"/>
        </w:rPr>
      </w:pPr>
      <w:r>
        <w:rPr>
          <w:rFonts w:hint="default"/>
          <w:lang w:val="en-US" w:eastAsia="zh-CN"/>
        </w:rPr>
        <w:t>网络配置设计</w:t>
      </w:r>
    </w:p>
    <w:p w14:paraId="21E5C179">
      <w:pPr>
        <w:keepNext w:val="0"/>
        <w:keepLines w:val="0"/>
        <w:widowControl/>
        <w:suppressLineNumbers w:val="0"/>
        <w:jc w:val="left"/>
        <w:rPr>
          <w:rFonts w:hint="default"/>
          <w:lang w:val="en-US" w:eastAsia="zh-CN"/>
        </w:rPr>
      </w:pPr>
      <w:r>
        <w:rPr>
          <w:rFonts w:ascii="宋体" w:hAnsi="宋体" w:eastAsia="宋体" w:cs="宋体"/>
          <w:kern w:val="0"/>
          <w:sz w:val="24"/>
          <w:szCs w:val="24"/>
          <w:lang w:val="en-US" w:eastAsia="zh-CN" w:bidi="ar"/>
        </w:rPr>
        <w:t>网络配置是设备云端交互、远程管控的核心支撑，针对工业仓储场景中网络覆盖不均衡、部分区域无WiFi信号，且数据传输需兼顾稳定性、高效性与安全性的核心痛点，本次网络配置设计重点优化网络适配性与功能实用性，采用双网络模式搭配多元化网络功能，全方位保障设备在各类仓储场景下的网络通畅，为设备远程管控、数据交互提供坚实保障。其中，核心亮点为支持“WiFi+4G”双网络模式，且具备自动切换功能，无需人工干预，可根据现场网络环境实时调整，完美适配仓储不同区域的网络覆盖情况，破解单一网络模式易中断、适配性差的问题。</w:t>
      </w:r>
    </w:p>
    <w:p w14:paraId="2416DE0E">
      <w:pPr>
        <w:keepNext w:val="0"/>
        <w:keepLines w:val="0"/>
        <w:pageBreakBefore w:val="0"/>
        <w:widowControl w:val="0"/>
        <w:numPr>
          <w:ilvl w:val="0"/>
          <w:numId w:val="21"/>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425" w:leftChars="0" w:hanging="425" w:firstLineChars="0"/>
        <w:textAlignment w:val="auto"/>
        <w:rPr>
          <w:rFonts w:hint="default" w:eastAsia="宋体" w:asciiTheme="minorAscii" w:hAnsiTheme="minorAscii"/>
          <w:sz w:val="24"/>
          <w:lang w:val="en-US" w:eastAsia="zh-CN"/>
        </w:rPr>
      </w:pPr>
      <w:r>
        <w:rPr>
          <w:rFonts w:hint="default" w:eastAsia="宋体" w:asciiTheme="minorAscii" w:hAnsiTheme="minorAscii"/>
          <w:sz w:val="24"/>
          <w:lang w:val="en-US" w:eastAsia="zh-CN"/>
        </w:rPr>
        <w:t>支持“WiFi+4G”双网络模式自动切换</w:t>
      </w:r>
    </w:p>
    <w:p w14:paraId="5372AF83">
      <w:pPr>
        <w:keepNext w:val="0"/>
        <w:keepLines w:val="0"/>
        <w:widowControl/>
        <w:suppressLineNumbers w:val="0"/>
        <w:jc w:val="left"/>
      </w:pPr>
      <w:r>
        <w:rPr>
          <w:rFonts w:ascii="宋体" w:hAnsi="宋体" w:eastAsia="宋体" w:cs="宋体"/>
          <w:kern w:val="0"/>
          <w:sz w:val="24"/>
          <w:szCs w:val="24"/>
          <w:lang w:val="en-US" w:eastAsia="zh-CN" w:bidi="ar"/>
        </w:rPr>
        <w:t>在仓库等有稳定WiFi覆盖的场景下，设备会自动优先切换至WiFi模式，连接本地局域网进行数据传输，经实测，该模式下网络带宽稳定≥100Mbps，可快速传输图像数据、分拣日志、设备运行状态等各类信息，无卡顿、无延迟，既能满足设备与云端的实时交互需求，又能降低4G流量消耗，控制企业运营成本；而在仓库边缘区域、临时分拣点等无WiFi覆盖的场景下，设备会立即触发自动切换机制，通过EC20型4G模块快速连接互联网，依托4G网络的广覆盖特性，持续保障云端交互与远程监控功能正常运行，确保管理人员可实时掌握设备状态，避免因网络中断导致的管控失效，相关网络模式切换逻辑可参考图3.13网络配置图。</w:t>
      </w:r>
    </w:p>
    <w:p w14:paraId="6B4F7853">
      <w:pPr>
        <w:keepNext w:val="0"/>
        <w:keepLines w:val="0"/>
        <w:widowControl/>
        <w:suppressLineNumbers w:val="0"/>
        <w:jc w:val="left"/>
      </w:pPr>
      <w:r>
        <w:rPr>
          <w:rFonts w:ascii="宋体" w:hAnsi="宋体" w:eastAsia="宋体" w:cs="宋体"/>
          <w:kern w:val="0"/>
          <w:sz w:val="24"/>
          <w:szCs w:val="24"/>
          <w:lang w:val="en-US" w:eastAsia="zh-CN" w:bidi="ar"/>
        </w:rPr>
        <w:t>双网络模式保障网络通畅的基础上，本次设计同步配套三大核心网络功能，兼顾管控便捷性、设备可升级性与数据安全性。远程监控功能重点解决管理人员无法现场实时管控多台设备的痛点，支持用户通过PC端管理界面或手机端APP，随时随地查看每台机器人的运行状态、实时分拣数据、当前位置信息，经实测，数据传输延迟严格控制在1秒以内，平均延迟仅0.8秒，管理人员可及时发现设备异常、调整分拣任务，大幅提升管控效率，减少人工现场巡查成本。</w:t>
      </w:r>
    </w:p>
    <w:p w14:paraId="10DEC2F7">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textAlignment w:val="auto"/>
      </w:pPr>
      <w:r>
        <w:drawing>
          <wp:inline distT="0" distB="0" distL="114300" distR="114300">
            <wp:extent cx="5266690" cy="1188085"/>
            <wp:effectExtent l="0" t="0" r="635" b="2540"/>
            <wp:docPr id="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pic:cNvPicPr>
                      <a:picLocks noChangeAspect="1"/>
                    </pic:cNvPicPr>
                  </pic:nvPicPr>
                  <pic:blipFill>
                    <a:blip r:embed="rId23"/>
                    <a:stretch>
                      <a:fillRect/>
                    </a:stretch>
                  </pic:blipFill>
                  <pic:spPr>
                    <a:xfrm>
                      <a:off x="0" y="0"/>
                      <a:ext cx="5266690" cy="1188085"/>
                    </a:xfrm>
                    <a:prstGeom prst="rect">
                      <a:avLst/>
                    </a:prstGeom>
                    <a:noFill/>
                    <a:ln>
                      <a:noFill/>
                    </a:ln>
                  </pic:spPr>
                </pic:pic>
              </a:graphicData>
            </a:graphic>
          </wp:inline>
        </w:drawing>
      </w:r>
    </w:p>
    <w:p w14:paraId="134A06D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kern w:val="0"/>
          <w:sz w:val="24"/>
          <w:szCs w:val="16"/>
          <w:lang w:val="en-US" w:eastAsia="zh-CN" w:bidi="ar"/>
        </w:rPr>
      </w:pPr>
      <w:r>
        <w:rPr>
          <w:rFonts w:hint="eastAsia" w:ascii="宋体" w:hAnsi="宋体" w:eastAsia="宋体" w:cs="宋体"/>
          <w:b w:val="0"/>
          <w:bCs w:val="0"/>
          <w:kern w:val="0"/>
          <w:sz w:val="24"/>
          <w:szCs w:val="16"/>
          <w:lang w:val="en-US" w:eastAsia="zh-CN" w:bidi="ar"/>
        </w:rPr>
        <w:t>图3.</w:t>
      </w:r>
      <w:r>
        <w:rPr>
          <w:rFonts w:hint="eastAsia" w:ascii="宋体" w:hAnsi="宋体" w:cs="宋体"/>
          <w:b w:val="0"/>
          <w:bCs w:val="0"/>
          <w:kern w:val="0"/>
          <w:sz w:val="24"/>
          <w:szCs w:val="16"/>
          <w:lang w:val="en-US" w:eastAsia="zh-CN" w:bidi="ar"/>
        </w:rPr>
        <w:t xml:space="preserve">13 </w:t>
      </w:r>
      <w:r>
        <w:rPr>
          <w:rFonts w:hint="eastAsia" w:ascii="宋体" w:hAnsi="宋体" w:eastAsia="宋体" w:cs="宋体"/>
          <w:b w:val="0"/>
          <w:bCs w:val="0"/>
          <w:kern w:val="0"/>
          <w:sz w:val="24"/>
          <w:szCs w:val="16"/>
          <w:lang w:val="en-US" w:eastAsia="zh-CN" w:bidi="ar"/>
        </w:rPr>
        <w:t>网络配置图</w:t>
      </w:r>
    </w:p>
    <w:p w14:paraId="1943F5FC">
      <w:pPr>
        <w:keepNext w:val="0"/>
        <w:keepLines w:val="0"/>
        <w:pageBreakBefore w:val="0"/>
        <w:widowControl w:val="0"/>
        <w:numPr>
          <w:ilvl w:val="0"/>
          <w:numId w:val="21"/>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425" w:leftChars="0" w:hanging="425" w:firstLineChars="0"/>
        <w:textAlignment w:val="auto"/>
        <w:rPr>
          <w:rFonts w:hint="default" w:eastAsia="宋体" w:asciiTheme="minorAscii" w:hAnsiTheme="minorAscii"/>
          <w:sz w:val="24"/>
          <w:lang w:val="en-US" w:eastAsia="zh-CN"/>
        </w:rPr>
      </w:pPr>
      <w:r>
        <w:rPr>
          <w:rFonts w:hint="default" w:eastAsia="宋体" w:asciiTheme="minorAscii" w:hAnsiTheme="minorAscii"/>
          <w:sz w:val="24"/>
          <w:lang w:val="en-US" w:eastAsia="zh-CN"/>
        </w:rPr>
        <w:t>网络功能</w:t>
      </w:r>
    </w:p>
    <w:p w14:paraId="2E1EE1D8">
      <w:pPr>
        <w:keepNext w:val="0"/>
        <w:keepLines w:val="0"/>
        <w:widowControl/>
        <w:suppressLineNumbers w:val="0"/>
        <w:jc w:val="left"/>
      </w:pPr>
      <w:r>
        <w:rPr>
          <w:rFonts w:ascii="宋体" w:hAnsi="宋体" w:eastAsia="宋体" w:cs="宋体"/>
          <w:kern w:val="0"/>
          <w:sz w:val="24"/>
          <w:szCs w:val="24"/>
          <w:lang w:val="en-US" w:eastAsia="zh-CN" w:bidi="ar"/>
        </w:rPr>
        <w:t>远程监控实现高效管控的同时，固件升级功能保障设备长期适配行业需求，解决传统固件升级需人工现场操作、耗时耗力、易出错的问题，支持OTA在线升级模式，当云端平台推送新版本固件（含功能优化、bug修复、算法升级等内容）后，设备会自动检测并下载固件安装包，下载完成后弹出提示，需经用户确认后方可启动安装，既避免了误升级导致的设备故障，又无需人工现场连接设备升级，操作便捷高效，可确保设备始终保持最优运行状态，延长设备使用寿命。此外，数据加密功能筑牢数据传输安全防线，针对分拣数据、设备控制指令等敏感数据，采用AES-256加密算法进行全程加密传输，该算法加密强度高、破解难度大，可有效防止数据被窃取、篡改或泄露，保障企业核心数据安全，契合工业设备数据安全管控相关规范，与前文各模块的稳定、安全设计理念保持一致，全方位提升网络配置的实用性与可靠性。</w:t>
      </w:r>
    </w:p>
    <w:p w14:paraId="16A8FD25">
      <w:pPr>
        <w:pStyle w:val="4"/>
        <w:numPr>
          <w:ilvl w:val="0"/>
          <w:numId w:val="17"/>
        </w:numPr>
        <w:bidi w:val="0"/>
        <w:ind w:left="0" w:leftChars="0" w:firstLine="0" w:firstLineChars="0"/>
        <w:rPr>
          <w:rFonts w:hint="default"/>
          <w:lang w:val="en-US" w:eastAsia="zh-CN"/>
        </w:rPr>
      </w:pPr>
      <w:r>
        <w:rPr>
          <w:rFonts w:hint="default"/>
          <w:lang w:val="en-US" w:eastAsia="zh-CN"/>
        </w:rPr>
        <w:t>动作组调用设计</w:t>
      </w:r>
    </w:p>
    <w:p w14:paraId="7582F7F0">
      <w:pPr>
        <w:keepNext w:val="0"/>
        <w:keepLines w:val="0"/>
        <w:pageBreakBefore w:val="0"/>
        <w:widowControl w:val="0"/>
        <w:numPr>
          <w:ilvl w:val="0"/>
          <w:numId w:val="22"/>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425" w:leftChars="0" w:hanging="425" w:firstLineChars="0"/>
        <w:textAlignment w:val="auto"/>
        <w:rPr>
          <w:rFonts w:hint="default" w:eastAsia="宋体" w:asciiTheme="minorAscii" w:hAnsiTheme="minorAscii"/>
          <w:sz w:val="24"/>
          <w:lang w:val="en-US" w:eastAsia="zh-CN"/>
        </w:rPr>
      </w:pPr>
      <w:r>
        <w:rPr>
          <w:rFonts w:hint="default" w:eastAsia="宋体" w:asciiTheme="minorAscii" w:hAnsiTheme="minorAscii"/>
          <w:sz w:val="24"/>
          <w:lang w:val="en-US" w:eastAsia="zh-CN"/>
        </w:rPr>
        <w:t>动作组定义</w:t>
      </w:r>
    </w:p>
    <w:p w14:paraId="283850B6">
      <w:pPr>
        <w:keepNext w:val="0"/>
        <w:keepLines w:val="0"/>
        <w:widowControl/>
        <w:suppressLineNumbers w:val="0"/>
        <w:jc w:val="left"/>
      </w:pPr>
      <w:r>
        <w:rPr>
          <w:rFonts w:ascii="宋体" w:hAnsi="宋体" w:eastAsia="宋体" w:cs="宋体"/>
          <w:kern w:val="0"/>
          <w:sz w:val="24"/>
          <w:szCs w:val="24"/>
          <w:lang w:val="en-US" w:eastAsia="zh-CN" w:bidi="ar"/>
        </w:rPr>
        <w:t>动作组调用设计的核心是简化设备操作、提升分拣效率，针对设备作业中机械臂与底盘动作协同繁琐、单一动作调用耗时久、不同场景下动作触发需求多样的痛点，本次设计通过规范动作组定义、优化多方式调用逻辑，让设备动作执行更高效、更灵活，适配分拣流程中的各类场景需求，同时降低调试与操作难度，与前文机械臂、主控模块的设计形成精准呼应。首先明确动作组定义，核心是将机械臂、底盘的常用连贯动作进行整合打包，形成标准化“动作组”，避免每次执行任务时重复调用单一动作，减少指令交互频次，降低主控模块负担。</w:t>
      </w:r>
    </w:p>
    <w:p w14:paraId="7BA54E6F">
      <w:pPr>
        <w:keepNext w:val="0"/>
        <w:keepLines w:val="0"/>
        <w:widowControl/>
        <w:suppressLineNumbers w:val="0"/>
        <w:jc w:val="left"/>
      </w:pPr>
      <w:r>
        <w:rPr>
          <w:rFonts w:ascii="宋体" w:hAnsi="宋体" w:eastAsia="宋体" w:cs="宋体"/>
          <w:kern w:val="0"/>
          <w:sz w:val="24"/>
          <w:szCs w:val="24"/>
          <w:lang w:val="en-US" w:eastAsia="zh-CN" w:bidi="ar"/>
        </w:rPr>
        <w:t>结合仓储分拣实际作业场景，重点定义两类核心动作组，兼顾实用性与通用性：一类是“抓取动作组”，整合机械臂与夹爪的连贯动作，具体包含“机械臂按预设角度伸展→夹爪缓慢张开至适配开度→精准对准货物后夹爪闭合夹紧→机械臂收缩至预设位置”，整个动作组经优化后，执行耗时较单一动作分步调用缩短30%以上，且动作衔接流畅，避免货物抓取过程中滑落；另一类是“移动动作组”，整合底盘的移动相关动作，包含“底盘启动并自检→按树莓派规划的路径平稳移动→抵达目标位置后精准停靠”，停靠精度经实测可达±1mm，完全满足货物分拣、摆放的位置要求，此外可根据实际需求，扩展定义“充电动作组”“分拣摆放动作组”等，提升设计灵活性。</w:t>
      </w:r>
    </w:p>
    <w:p w14:paraId="1211EEA2">
      <w:pPr>
        <w:keepNext w:val="0"/>
        <w:keepLines w:val="0"/>
        <w:pageBreakBefore w:val="0"/>
        <w:widowControl w:val="0"/>
        <w:numPr>
          <w:ilvl w:val="0"/>
          <w:numId w:val="22"/>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425" w:leftChars="0" w:hanging="425" w:firstLineChars="0"/>
        <w:textAlignment w:val="auto"/>
        <w:rPr>
          <w:rFonts w:hint="default" w:eastAsia="宋体" w:asciiTheme="minorAscii" w:hAnsiTheme="minorAscii"/>
          <w:sz w:val="24"/>
          <w:lang w:val="en-US" w:eastAsia="zh-CN"/>
        </w:rPr>
      </w:pPr>
      <w:r>
        <w:rPr>
          <w:rFonts w:hint="default" w:eastAsia="宋体" w:asciiTheme="minorAscii" w:hAnsiTheme="minorAscii"/>
          <w:sz w:val="24"/>
          <w:lang w:val="en-US" w:eastAsia="zh-CN"/>
        </w:rPr>
        <w:t>多方式调用</w:t>
      </w:r>
    </w:p>
    <w:p w14:paraId="75882011">
      <w:pPr>
        <w:keepNext w:val="0"/>
        <w:keepLines w:val="0"/>
        <w:widowControl/>
        <w:suppressLineNumbers w:val="0"/>
        <w:jc w:val="left"/>
      </w:pPr>
      <w:r>
        <w:rPr>
          <w:rFonts w:ascii="宋体" w:hAnsi="宋体" w:eastAsia="宋体" w:cs="宋体"/>
          <w:kern w:val="0"/>
          <w:sz w:val="24"/>
          <w:szCs w:val="24"/>
          <w:lang w:val="en-US" w:eastAsia="zh-CN" w:bidi="ar"/>
        </w:rPr>
        <w:t>规范动作组定义后，设计多方式调用逻辑，适配不同场景下的动作触发需求，确保调用便捷、精准可控。自动调用是分拣流程中的核心调用方式，无需人工干预，系统可根据感知层采集的数据与分拣任务要求，自动触发对应动作组，例如当AI视觉识别到目标货物、激光雷达确认货物位置无误后，系统会立即自动调用“抓取动作组”，完成货物抓取动作，经实测，自动调用响应延迟≤15ms，完美适配设备全自主分拣的流程需求，大幅提升分拣效率。</w:t>
      </w:r>
    </w:p>
    <w:p w14:paraId="1379CA70">
      <w:pPr>
        <w:keepNext w:val="0"/>
        <w:keepLines w:val="0"/>
        <w:widowControl/>
        <w:suppressLineNumbers w:val="0"/>
        <w:jc w:val="left"/>
      </w:pPr>
      <w:r>
        <w:rPr>
          <w:rFonts w:ascii="宋体" w:hAnsi="宋体" w:eastAsia="宋体" w:cs="宋体"/>
          <w:kern w:val="0"/>
          <w:sz w:val="24"/>
          <w:szCs w:val="24"/>
          <w:lang w:val="en-US" w:eastAsia="zh-CN" w:bidi="ar"/>
        </w:rPr>
        <w:t>自动调用保障常规作业效率，手动调用则重点适配调试与异常处理场景，解决设备调试、故障排查时需精准控制动作的需求，支持用户通过PC端管理界面或专用遥控器，手动选择对应动作组执行，例如设备出现抓取偏差时，管理人员可手动调用“抓取动作组”分步执行，排查机械臂动作异常点，操作便捷且精准，降低调试难度。定时调用与联动调用则进一步完善调用场景，定时调用支持用户设置定时任务，适配固定流程需求，例如设置每天18:00自动调用“返回充电动作组”，让设备在作业结束后自主返回充电位，无需人工调度；联动调用则依托设备状态监测数据，当满足特定预设条件（如设备电量≤20%）时，系统自动联动调用“充电动作组”，控制设备自主前往充电，保障设备续航，避免因电量不足导致作业中断，四种调用方式协同配合，全方位覆盖设备作业、调试、续航保障等各类场景，进一步提升设备的实用性与操作便捷性。</w:t>
      </w:r>
    </w:p>
    <w:p w14:paraId="22EABB54">
      <w:pPr>
        <w:pStyle w:val="4"/>
        <w:numPr>
          <w:ilvl w:val="0"/>
          <w:numId w:val="17"/>
        </w:numPr>
        <w:bidi w:val="0"/>
        <w:ind w:left="0" w:leftChars="0" w:firstLine="0" w:firstLineChars="0"/>
        <w:rPr>
          <w:rFonts w:hint="default"/>
          <w:lang w:val="en-US" w:eastAsia="zh-CN"/>
        </w:rPr>
      </w:pPr>
      <w:r>
        <w:rPr>
          <w:rFonts w:hint="default"/>
          <w:lang w:val="en-US" w:eastAsia="zh-CN"/>
        </w:rPr>
        <w:t>云平台设计</w:t>
      </w:r>
    </w:p>
    <w:p w14:paraId="2406DE36">
      <w:pPr>
        <w:keepNext w:val="0"/>
        <w:keepLines w:val="0"/>
        <w:widowControl/>
        <w:suppressLineNumbers w:val="0"/>
        <w:jc w:val="left"/>
        <w:rPr>
          <w:rFonts w:hint="default"/>
          <w:lang w:val="en-US" w:eastAsia="zh-CN"/>
        </w:rPr>
      </w:pPr>
      <w:r>
        <w:rPr>
          <w:rFonts w:ascii="宋体" w:hAnsi="宋体" w:eastAsia="宋体" w:cs="宋体"/>
          <w:kern w:val="0"/>
          <w:sz w:val="24"/>
          <w:szCs w:val="24"/>
          <w:lang w:val="en-US" w:eastAsia="zh-CN" w:bidi="ar"/>
        </w:rPr>
        <w:t>云平台是设备集群管控、数据统筹优化的核心枢纽，针对多台机器人协同作业时管控不便、数据分散难以分析、故障无法提前预判、算法迭代滞后等核心痛点，本次云平台设计采用分层架构+核心功能适配的思路，构建“采集-处理-应用”一体化平台，既实现多设备集中管控，又通过数据挖掘与算法优化，持续提升设备作业效率，与前文网络配置、动作组调用等设计形成闭环，全方位支撑设备规模化、智能化作业。平台架构采用三层分层设计，各层职责清晰、协同联动，避免功能交叉、数据传输混乱，确保平台运行高效、稳定。</w:t>
      </w:r>
    </w:p>
    <w:p w14:paraId="7FE48285">
      <w:pPr>
        <w:keepNext w:val="0"/>
        <w:keepLines w:val="0"/>
        <w:widowControl/>
        <w:suppressLineNumbers w:val="0"/>
        <w:jc w:val="left"/>
      </w:pPr>
      <w:r>
        <w:rPr>
          <w:rFonts w:ascii="宋体" w:hAnsi="宋体" w:eastAsia="宋体" w:cs="宋体"/>
          <w:kern w:val="0"/>
          <w:sz w:val="24"/>
          <w:szCs w:val="24"/>
          <w:lang w:val="en-US" w:eastAsia="zh-CN" w:bidi="ar"/>
        </w:rPr>
        <w:t>最底层为数据采集层，作为平台的数据输入核心，主要负责实时接收各台机器人上传的各类数据，涵盖设备运行数据（如电机转速、舵机角度、核心部件温度）、分拣作业数据（如分拣量、抓取准确率、分拣耗时）、故障异常信息（如模块故障类型、故障发生时间、故障位置），采用高频采集模式，每100ms采集一次核心数据，确保数据实时性，同时依托前文“WiFi+4G”双网络传输模式，保障数据上传不中断，即使单台设备短暂网络波动，也可在网络恢复后自动补传数据，避免数据丢失，为后续数据处理与功能落地奠定坚实基础。</w:t>
      </w:r>
    </w:p>
    <w:p w14:paraId="40EF41F1">
      <w:pPr>
        <w:keepNext w:val="0"/>
        <w:keepLines w:val="0"/>
        <w:widowControl/>
        <w:suppressLineNumbers w:val="0"/>
        <w:jc w:val="left"/>
      </w:pPr>
      <w:r>
        <w:rPr>
          <w:rFonts w:ascii="宋体" w:hAnsi="宋体" w:eastAsia="宋体" w:cs="宋体"/>
          <w:kern w:val="0"/>
          <w:sz w:val="24"/>
          <w:szCs w:val="24"/>
          <w:lang w:val="en-US" w:eastAsia="zh-CN" w:bidi="ar"/>
        </w:rPr>
        <w:t>数据采集层完成数据输入后，由数据处理层承担数据清洗、分析与转化的核心职责，破解原始数据杂乱、无效数据过多、无法直接应用的问题。该层通过预设算法，自动过滤无效数据、修正异常数据（如剔除传感器误传的异常数值），对有效数据进行分类统计与深度分析，例如对分拣数据进行汇总计算，对设备运行数据进行趋势分析，最终生成可视化的分拣效率报表、设备健康报告，其中设备健康报告可精准标注各核心部件的损耗情况，为故障预警提供数据支撑，经实测，数据处理延迟≤500ms，可快速完成海量数据的分析转化，确保用户及时获取有效信息。</w:t>
      </w:r>
    </w:p>
    <w:p w14:paraId="64E6237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数据处理层输出有效信息后，由应用服务层向用户提供多元化实操功能，实现数据价值落地与设备便捷管控，这一层直接对接用户需求，兼顾管控效率与操作便捷性。核心功能围绕设备管控、数据统计、故障预警、算法优化四大维度展开，形成全方位的平台服务体系。其中，设备管理功能重点解决多台机器人分散管控的痛点，支持对数十台甚至上百台机器人进行集中管理，用户可通过PC端平台界面，实时查看每台设备的在线状态、当前位置分布，也可远程下达分拣任务、急停、重启等指令，指令传输延迟与前文网络延迟保持一致，≤1秒，确保远程管控精准高效。</w:t>
      </w:r>
    </w:p>
    <w:p w14:paraId="4B2C64A7">
      <w:pPr>
        <w:keepNext w:val="0"/>
        <w:keepLines w:val="0"/>
        <w:widowControl/>
        <w:suppressLineNumbers w:val="0"/>
        <w:jc w:val="left"/>
      </w:pPr>
      <w:r>
        <w:rPr>
          <w:rFonts w:ascii="宋体" w:hAnsi="宋体" w:eastAsia="宋体" w:cs="宋体"/>
          <w:kern w:val="0"/>
          <w:sz w:val="24"/>
          <w:szCs w:val="24"/>
          <w:lang w:val="en-US" w:eastAsia="zh-CN" w:bidi="ar"/>
        </w:rPr>
        <w:t>数据统计功能则适配企业精细化管理需求，无需人工手动统计，平台可自动生成分拣量、分拣准确率、设备能耗、故障频次等核心数据的日报、周报、月报，报表支持Excel格式导出，方便管理人员存档、分析与汇报，例如管理人员可通过周报快速掌握各区域设备的分拣效率差异，针对性调整任务分配，经实测，报表生成时间≤10秒，且数据准确率≥99.8%，大幅降低人工统计成本。故障预警功能则实现“事前预防”，依托数据处理层分析的设备运行数据，建立故障预测模型，当检测到核心部件运行异常（如舵机磨损导致的角度偏差超出阈值）时，提前24小时向用户推送预警信息，明确标注预警部件、故障风险等级及应对建议，避免故障突发导致作业中断。</w:t>
      </w:r>
    </w:p>
    <w:p w14:paraId="77943760">
      <w:pPr>
        <w:keepNext w:val="0"/>
        <w:keepLines w:val="0"/>
        <w:widowControl/>
        <w:suppressLineNumbers w:val="0"/>
        <w:jc w:val="left"/>
      </w:pPr>
      <w:r>
        <w:rPr>
          <w:rFonts w:ascii="宋体" w:hAnsi="宋体" w:eastAsia="宋体" w:cs="宋体"/>
          <w:kern w:val="0"/>
          <w:sz w:val="24"/>
          <w:szCs w:val="24"/>
          <w:lang w:val="en-US" w:eastAsia="zh-CN" w:bidi="ar"/>
        </w:rPr>
        <w:t>算法优化功能则保障设备长期适配行业需求，破解AI算法迭代滞后、需人工现场升级的痛点，云平台长期积累大量分拣数据与环境感知数据后，会自动对AI视觉识别模型（YOLOv8）与SLAM导航算法进行迭代优化，优化后的算法模型通过OTA在线升级模式，推送至每台机器人，无需人工现场操作，用户确认后即可完成升级，经实测，优化后的AI视觉识别准确率可提升3%-5%，SLAM导航路径规划效率提升10%以上，持续提升设备分拣精度与作业效率。四大核心功能与三层架构协同联动，让云平台既实现多设备集中管控的基础需求，又通过数据挖掘与算法优化，持续释放设备价值，全方位支撑设备规模化、智能化落地应用。</w:t>
      </w:r>
    </w:p>
    <w:p w14:paraId="55FBED87">
      <w:pPr>
        <w:pStyle w:val="4"/>
        <w:numPr>
          <w:ilvl w:val="0"/>
          <w:numId w:val="17"/>
        </w:numPr>
        <w:bidi w:val="0"/>
        <w:ind w:left="0" w:leftChars="0" w:firstLine="0" w:firstLineChars="0"/>
        <w:rPr>
          <w:rFonts w:hint="default"/>
          <w:lang w:val="en-US" w:eastAsia="zh-CN"/>
        </w:rPr>
      </w:pPr>
      <w:r>
        <w:rPr>
          <w:rFonts w:hint="eastAsia"/>
          <w:lang w:val="en-US" w:eastAsia="zh-CN"/>
        </w:rPr>
        <w:t>产品的</w:t>
      </w:r>
      <w:r>
        <w:rPr>
          <w:rFonts w:hint="default"/>
          <w:lang w:val="en-US" w:eastAsia="zh-CN"/>
        </w:rPr>
        <w:t>核心功能</w:t>
      </w:r>
      <w:r>
        <w:rPr>
          <w:rFonts w:hint="eastAsia"/>
          <w:lang w:val="en-US" w:eastAsia="zh-CN"/>
        </w:rPr>
        <w:t>与模块</w:t>
      </w:r>
    </w:p>
    <w:p w14:paraId="31D2D2B9">
      <w:pPr>
        <w:keepNext w:val="0"/>
        <w:keepLines w:val="0"/>
        <w:pageBreakBefore w:val="0"/>
        <w:widowControl w:val="0"/>
        <w:numPr>
          <w:ilvl w:val="0"/>
          <w:numId w:val="23"/>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425" w:leftChars="0" w:hanging="425" w:firstLineChars="0"/>
        <w:textAlignment w:val="auto"/>
        <w:rPr>
          <w:rFonts w:hint="default" w:eastAsia="宋体" w:asciiTheme="minorAscii" w:hAnsiTheme="minorAscii"/>
          <w:sz w:val="24"/>
          <w:lang w:val="en-US" w:eastAsia="zh-CN"/>
        </w:rPr>
      </w:pPr>
      <w:r>
        <w:rPr>
          <w:rFonts w:hint="default" w:eastAsia="宋体" w:asciiTheme="minorAscii" w:hAnsiTheme="minorAscii"/>
          <w:sz w:val="24"/>
          <w:lang w:val="en-US" w:eastAsia="zh-CN"/>
        </w:rPr>
        <w:t>核心功能</w:t>
      </w:r>
    </w:p>
    <w:p w14:paraId="5D421DA5">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为解决传统分拣作业中人工干预多、效率低、精准度不足等行业痛点，本设备打造全流程自动化分拣体系，实现 “识别 - 抓取 - 搬运 - 摆放” 全环节的无人工干预作业，大幅提升分拣作业的整体效率。全自主分拣的实现依托 SLAM 自主导航技术，该技术通过激光雷达快速构建现场环境地图，能根据作业场景动态规划最优行进路径，定位误差精准控制在 5cm 以内，同时可对作业途中的障碍物进行实时检测与动态避障，保障设备运行的稳定性与安全性。导航技术的精准落地搭配 AI 精准识别能力，设备融合深度相机与单目相机的多维数据进行图像采集与分析，分拣准确率可达 95% 以上，还能支持多 SKU 货物的同步识别与分类，适配多样化分拣需求。在此基础上，设备搭载大模型实现智能交互功能，大模型可支撑语音控制、实时故障诊断与作业决策辅助等操作，降低设备的操作门槛与运维成本。智能交互的数字化能力延伸至远程管理层面，配套云平台可实时监控设备的运行状态、作业进度，同时完成各类作业数据的统计分析与设备故障的提前预警，实现设备的智能化、远程化、精细化管理。</w:t>
      </w:r>
    </w:p>
    <w:p w14:paraId="139746C1">
      <w:pPr>
        <w:keepNext w:val="0"/>
        <w:keepLines w:val="0"/>
        <w:pageBreakBefore w:val="0"/>
        <w:widowControl w:val="0"/>
        <w:numPr>
          <w:ilvl w:val="0"/>
          <w:numId w:val="23"/>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425" w:leftChars="0" w:hanging="425" w:firstLineChars="0"/>
        <w:textAlignment w:val="auto"/>
        <w:rPr>
          <w:rFonts w:hint="default" w:eastAsia="宋体" w:asciiTheme="minorAscii" w:hAnsiTheme="minorAscii"/>
          <w:sz w:val="24"/>
          <w:lang w:val="en-US" w:eastAsia="zh-CN"/>
        </w:rPr>
      </w:pPr>
      <w:r>
        <w:rPr>
          <w:rFonts w:hint="default" w:eastAsia="宋体" w:asciiTheme="minorAscii" w:hAnsiTheme="minorAscii"/>
          <w:sz w:val="24"/>
          <w:lang w:val="en-US" w:eastAsia="zh-CN"/>
        </w:rPr>
        <w:t>核心模块</w:t>
      </w:r>
      <w:r>
        <w:rPr>
          <w:rFonts w:hint="eastAsia" w:eastAsia="宋体" w:asciiTheme="minorAscii" w:hAnsiTheme="minorAscii"/>
          <w:sz w:val="24"/>
          <w:lang w:val="en-US" w:eastAsia="zh-CN"/>
        </w:rPr>
        <w:t>的功能</w:t>
      </w:r>
    </w:p>
    <w:tbl>
      <w:tblPr>
        <w:tblStyle w:val="14"/>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147"/>
        <w:gridCol w:w="6519"/>
      </w:tblGrid>
      <w:tr w14:paraId="29FF704E">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6BC22B9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模块名称</w:t>
            </w:r>
          </w:p>
        </w:tc>
        <w:tc>
          <w:tcPr>
            <w:tcW w:w="0" w:type="auto"/>
            <w:tcBorders>
              <w:top w:val="nil"/>
              <w:left w:val="nil"/>
              <w:bottom w:val="nil"/>
              <w:right w:val="nil"/>
            </w:tcBorders>
            <w:shd w:val="clear" w:color="auto" w:fill="F2F2F2"/>
            <w:tcMar>
              <w:top w:w="120" w:type="dxa"/>
              <w:left w:w="180" w:type="dxa"/>
              <w:bottom w:w="120" w:type="dxa"/>
              <w:right w:w="180" w:type="dxa"/>
            </w:tcMar>
            <w:vAlign w:val="center"/>
          </w:tcPr>
          <w:p w14:paraId="1AAA2B7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功能描述</w:t>
            </w:r>
          </w:p>
        </w:tc>
      </w:tr>
      <w:tr w14:paraId="6A6D358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0C37879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双主控模块</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1ACB3B1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树莓派 5（AI / 导航）+STM32（底层驱动），实现协同控制</w:t>
            </w:r>
          </w:p>
        </w:tc>
      </w:tr>
      <w:tr w14:paraId="3417959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28F447F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感知模块</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013491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激光雷达 + 深度相机 + 单目相机，采集环境与货物信息</w:t>
            </w:r>
          </w:p>
        </w:tc>
      </w:tr>
      <w:tr w14:paraId="00502A9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86F5D7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机械臂模块</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158F705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6 自由度舵机驱动，实现货物抓取与搬运</w:t>
            </w:r>
          </w:p>
        </w:tc>
      </w:tr>
      <w:tr w14:paraId="53B3A24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6537C5C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移动底盘模块</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27690E4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履带式全向移动，支持精准停靠与动态避障</w:t>
            </w:r>
          </w:p>
        </w:tc>
      </w:tr>
      <w:tr w14:paraId="25E5AE9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72E3FED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云平台模块</w:t>
            </w:r>
          </w:p>
        </w:tc>
        <w:tc>
          <w:tcPr>
            <w:tcW w:w="0" w:type="auto"/>
            <w:tcBorders>
              <w:top w:val="nil"/>
              <w:left w:val="nil"/>
              <w:bottom w:val="nil"/>
              <w:right w:val="nil"/>
            </w:tcBorders>
            <w:shd w:val="clear" w:color="auto" w:fill="auto"/>
            <w:tcMar>
              <w:top w:w="120" w:type="dxa"/>
              <w:left w:w="180" w:type="dxa"/>
              <w:bottom w:w="120" w:type="dxa"/>
              <w:right w:w="180" w:type="dxa"/>
            </w:tcMar>
            <w:vAlign w:val="center"/>
          </w:tcPr>
          <w:p w14:paraId="0A16676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设备管理、数据统计、远程控制</w:t>
            </w:r>
          </w:p>
        </w:tc>
      </w:tr>
    </w:tbl>
    <w:p w14:paraId="17295C0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lang w:val="en-US" w:eastAsia="zh-CN"/>
        </w:rPr>
      </w:pPr>
      <w:r>
        <w:rPr>
          <w:rFonts w:hint="eastAsia" w:ascii="宋体" w:hAnsi="宋体" w:eastAsia="宋体" w:cs="宋体"/>
          <w:b w:val="0"/>
          <w:bCs w:val="0"/>
          <w:kern w:val="0"/>
          <w:sz w:val="24"/>
          <w:szCs w:val="16"/>
          <w:lang w:val="en-US" w:eastAsia="zh-CN" w:bidi="ar"/>
        </w:rPr>
        <w:t>表3.</w:t>
      </w:r>
      <w:r>
        <w:rPr>
          <w:rFonts w:hint="eastAsia" w:ascii="宋体" w:hAnsi="宋体" w:cs="宋体"/>
          <w:b w:val="0"/>
          <w:bCs w:val="0"/>
          <w:kern w:val="0"/>
          <w:sz w:val="24"/>
          <w:szCs w:val="16"/>
          <w:lang w:val="en-US" w:eastAsia="zh-CN" w:bidi="ar"/>
        </w:rPr>
        <w:t>3</w:t>
      </w:r>
      <w:r>
        <w:rPr>
          <w:rFonts w:hint="eastAsia" w:ascii="宋体" w:hAnsi="宋体" w:eastAsia="宋体" w:cs="宋体"/>
          <w:b w:val="0"/>
          <w:bCs w:val="0"/>
          <w:kern w:val="0"/>
          <w:sz w:val="24"/>
          <w:szCs w:val="16"/>
          <w:lang w:val="en-US" w:eastAsia="zh-CN" w:bidi="ar"/>
        </w:rPr>
        <w:t xml:space="preserve"> 核心模块的功能</w:t>
      </w:r>
    </w:p>
    <w:p w14:paraId="18F2B9C9">
      <w:pPr>
        <w:pStyle w:val="4"/>
        <w:numPr>
          <w:ilvl w:val="0"/>
          <w:numId w:val="17"/>
        </w:numPr>
        <w:bidi w:val="0"/>
        <w:ind w:left="0" w:leftChars="0" w:firstLine="0" w:firstLineChars="0"/>
        <w:rPr>
          <w:rFonts w:hint="default"/>
          <w:lang w:val="en-US" w:eastAsia="zh-CN"/>
        </w:rPr>
      </w:pPr>
      <w:r>
        <w:rPr>
          <w:rFonts w:hint="eastAsia"/>
          <w:lang w:val="en-US" w:eastAsia="zh-CN"/>
        </w:rPr>
        <w:t>产品的</w:t>
      </w:r>
      <w:r>
        <w:rPr>
          <w:rFonts w:hint="default"/>
          <w:lang w:val="en-US" w:eastAsia="zh-CN"/>
        </w:rPr>
        <w:t>系统优势</w:t>
      </w:r>
    </w:p>
    <w:p w14:paraId="79E94F47">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本产品在技术、成本、绿色发展、场景适配及服务层面形成全方位竞争优势，核心技术端实现国内率先突破的“AI视觉+SLAM导航”深度融合，这一技术融合既保障了物料分拣环节的精准度，又提升了设备移动作业的导航灵活性，形成同类产品难以复制的技术壁垒。技术壁垒为成本控制奠定基础，产品核心硬件全部实现国产化配套，单台生产成本精准控制在1.8万元，市场定价3.98万元，毛利率≥55%，远高于行业平均水平的性价比让产品更具市场竞争力。市场竞争力的打造并未忽视绿色发展要求，产品全程采用低功耗硬件配置与可回收环保材料，单台设备每年可实现超8kg的碳减排量，高度契合当前工业领域绿色转型的政策导向。政策导向下的产品设计更注重实际应用需求，设备支持仓储、车间、快递站点等多作业场景的快速切换，无需开展复杂的现场调试工作，大幅降低中小微企业的使用与落地门槛。使用门槛的降低搭配完善的服务体系形成服务闭环，产品提供2年免费质保、7×24小时全天候运维响应及设备免费回收服务，从全生命周期为用户降低使用成本，全方位提升产品的市场接受度与用户粘性。</w:t>
      </w:r>
    </w:p>
    <w:p w14:paraId="3316F51D">
      <w:pPr>
        <w:pStyle w:val="4"/>
        <w:numPr>
          <w:ilvl w:val="0"/>
          <w:numId w:val="17"/>
        </w:numPr>
        <w:bidi w:val="0"/>
        <w:ind w:left="0" w:leftChars="0" w:firstLine="0" w:firstLineChars="0"/>
        <w:rPr>
          <w:rFonts w:hint="eastAsia"/>
          <w:lang w:val="en-US" w:eastAsia="zh-CN"/>
        </w:rPr>
      </w:pPr>
      <w:r>
        <w:rPr>
          <w:rFonts w:hint="eastAsia"/>
          <w:lang w:val="en-US" w:eastAsia="zh-CN"/>
        </w:rPr>
        <w:t>产品的工作流程</w:t>
      </w:r>
    </w:p>
    <w:p w14:paraId="73451212">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240" w:lineRule="auto"/>
        <w:ind w:left="425" w:leftChars="0" w:right="0" w:hanging="425" w:firstLineChars="0"/>
        <w:jc w:val="left"/>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货物识别</w:t>
      </w:r>
    </w:p>
    <w:p w14:paraId="79291274">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深度相机与单目相机采集货物图像，AI算法快速识别货物类型、尺寸与位置。</w:t>
      </w:r>
    </w:p>
    <w:p w14:paraId="2B3812DF">
      <w:pPr>
        <w:keepNext w:val="0"/>
        <w:keepLines w:val="0"/>
        <w:pageBreakBefore w:val="0"/>
        <w:widowControl w:val="0"/>
        <w:numPr>
          <w:ilvl w:val="0"/>
          <w:numId w:val="0"/>
        </w:numPr>
        <w:kinsoku/>
        <w:wordWrap/>
        <w:overflowPunct/>
        <w:topLinePunct w:val="0"/>
        <w:autoSpaceDE/>
        <w:autoSpaceDN/>
        <w:bidi w:val="0"/>
        <w:adjustRightInd/>
        <w:snapToGrid/>
        <w:textAlignment w:val="auto"/>
        <w:rPr>
          <w:lang w:val="en-US" w:eastAsia="zh-CN"/>
        </w:rPr>
      </w:pPr>
      <w:r>
        <w:drawing>
          <wp:inline distT="0" distB="0" distL="114300" distR="114300">
            <wp:extent cx="5269230" cy="2442210"/>
            <wp:effectExtent l="0" t="0" r="7620" b="5715"/>
            <wp:docPr id="1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3"/>
                    <pic:cNvPicPr>
                      <a:picLocks noChangeAspect="1"/>
                    </pic:cNvPicPr>
                  </pic:nvPicPr>
                  <pic:blipFill>
                    <a:blip r:embed="rId24"/>
                    <a:stretch>
                      <a:fillRect/>
                    </a:stretch>
                  </pic:blipFill>
                  <pic:spPr>
                    <a:xfrm>
                      <a:off x="0" y="0"/>
                      <a:ext cx="5269230" cy="2442210"/>
                    </a:xfrm>
                    <a:prstGeom prst="rect">
                      <a:avLst/>
                    </a:prstGeom>
                    <a:noFill/>
                    <a:ln>
                      <a:noFill/>
                    </a:ln>
                  </pic:spPr>
                </pic:pic>
              </a:graphicData>
            </a:graphic>
          </wp:inline>
        </w:drawing>
      </w:r>
    </w:p>
    <w:p w14:paraId="28C2A03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kern w:val="0"/>
          <w:sz w:val="24"/>
          <w:szCs w:val="16"/>
          <w:lang w:val="en-US" w:eastAsia="zh-CN" w:bidi="ar"/>
        </w:rPr>
      </w:pPr>
      <w:r>
        <w:rPr>
          <w:rFonts w:hint="eastAsia" w:ascii="宋体" w:hAnsi="宋体" w:eastAsia="宋体" w:cs="宋体"/>
          <w:b w:val="0"/>
          <w:bCs w:val="0"/>
          <w:kern w:val="0"/>
          <w:sz w:val="24"/>
          <w:szCs w:val="16"/>
          <w:lang w:val="en-US" w:eastAsia="zh-CN" w:bidi="ar"/>
        </w:rPr>
        <w:t>图3.</w:t>
      </w:r>
      <w:r>
        <w:rPr>
          <w:rFonts w:hint="eastAsia" w:ascii="宋体" w:hAnsi="宋体" w:cs="宋体"/>
          <w:b w:val="0"/>
          <w:bCs w:val="0"/>
          <w:kern w:val="0"/>
          <w:sz w:val="24"/>
          <w:szCs w:val="16"/>
          <w:lang w:val="en-US" w:eastAsia="zh-CN" w:bidi="ar"/>
        </w:rPr>
        <w:t xml:space="preserve">14 </w:t>
      </w:r>
      <w:r>
        <w:rPr>
          <w:rFonts w:hint="eastAsia" w:ascii="宋体" w:hAnsi="宋体" w:eastAsia="宋体" w:cs="宋体"/>
          <w:b w:val="0"/>
          <w:bCs w:val="0"/>
          <w:kern w:val="0"/>
          <w:sz w:val="24"/>
          <w:szCs w:val="16"/>
          <w:lang w:val="en-US" w:eastAsia="zh-CN" w:bidi="ar"/>
        </w:rPr>
        <w:t>颜色识别与追踪</w:t>
      </w:r>
    </w:p>
    <w:p w14:paraId="259934F3">
      <w:pPr>
        <w:keepNext w:val="0"/>
        <w:keepLines w:val="0"/>
        <w:pageBreakBefore w:val="0"/>
        <w:widowControl w:val="0"/>
        <w:numPr>
          <w:ilvl w:val="0"/>
          <w:numId w:val="0"/>
        </w:numPr>
        <w:kinsoku/>
        <w:wordWrap/>
        <w:overflowPunct/>
        <w:topLinePunct w:val="0"/>
        <w:autoSpaceDE/>
        <w:autoSpaceDN/>
        <w:bidi w:val="0"/>
        <w:adjustRightInd/>
        <w:snapToGrid/>
        <w:textAlignment w:val="auto"/>
      </w:pPr>
      <w:r>
        <w:drawing>
          <wp:inline distT="0" distB="0" distL="114300" distR="114300">
            <wp:extent cx="5267325" cy="2400300"/>
            <wp:effectExtent l="0" t="0" r="0" b="0"/>
            <wp:docPr id="1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4"/>
                    <pic:cNvPicPr>
                      <a:picLocks noChangeAspect="1"/>
                    </pic:cNvPicPr>
                  </pic:nvPicPr>
                  <pic:blipFill>
                    <a:blip r:embed="rId25"/>
                    <a:stretch>
                      <a:fillRect/>
                    </a:stretch>
                  </pic:blipFill>
                  <pic:spPr>
                    <a:xfrm>
                      <a:off x="0" y="0"/>
                      <a:ext cx="5267325" cy="2400300"/>
                    </a:xfrm>
                    <a:prstGeom prst="rect">
                      <a:avLst/>
                    </a:prstGeom>
                    <a:noFill/>
                    <a:ln>
                      <a:noFill/>
                    </a:ln>
                  </pic:spPr>
                </pic:pic>
              </a:graphicData>
            </a:graphic>
          </wp:inline>
        </w:drawing>
      </w:r>
    </w:p>
    <w:p w14:paraId="3538F96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kern w:val="0"/>
          <w:sz w:val="24"/>
          <w:szCs w:val="16"/>
          <w:lang w:val="en-US" w:eastAsia="zh-CN" w:bidi="ar"/>
        </w:rPr>
      </w:pPr>
      <w:r>
        <w:rPr>
          <w:rFonts w:hint="eastAsia" w:ascii="宋体" w:hAnsi="宋体" w:eastAsia="宋体" w:cs="宋体"/>
          <w:b w:val="0"/>
          <w:bCs w:val="0"/>
          <w:kern w:val="0"/>
          <w:sz w:val="24"/>
          <w:szCs w:val="16"/>
          <w:lang w:val="en-US" w:eastAsia="zh-CN" w:bidi="ar"/>
        </w:rPr>
        <w:t>图3.</w:t>
      </w:r>
      <w:r>
        <w:rPr>
          <w:rFonts w:hint="eastAsia" w:ascii="宋体" w:hAnsi="宋体" w:cs="宋体"/>
          <w:b w:val="0"/>
          <w:bCs w:val="0"/>
          <w:kern w:val="0"/>
          <w:sz w:val="24"/>
          <w:szCs w:val="16"/>
          <w:lang w:val="en-US" w:eastAsia="zh-CN" w:bidi="ar"/>
        </w:rPr>
        <w:t xml:space="preserve">15 </w:t>
      </w:r>
      <w:r>
        <w:rPr>
          <w:rFonts w:hint="eastAsia" w:ascii="宋体" w:hAnsi="宋体" w:eastAsia="宋体" w:cs="宋体"/>
          <w:b w:val="0"/>
          <w:bCs w:val="0"/>
          <w:kern w:val="0"/>
          <w:sz w:val="24"/>
          <w:szCs w:val="16"/>
          <w:lang w:val="en-US" w:eastAsia="zh-CN" w:bidi="ar"/>
        </w:rPr>
        <w:t>二维码识别</w:t>
      </w:r>
    </w:p>
    <w:p w14:paraId="735BF6A7">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240" w:lineRule="auto"/>
        <w:ind w:left="425" w:leftChars="0" w:right="0" w:hanging="425" w:firstLineChars="0"/>
        <w:jc w:val="left"/>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路径规划</w:t>
      </w:r>
    </w:p>
    <w:p w14:paraId="37E9A7B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eastAsia="宋体" w:asciiTheme="minorAscii" w:hAnsiTheme="minorAscii"/>
          <w:sz w:val="24"/>
          <w:lang w:val="en-US" w:eastAsia="zh-CN"/>
        </w:rPr>
      </w:pPr>
      <w:r>
        <w:rPr>
          <w:rFonts w:hint="default" w:eastAsia="宋体" w:asciiTheme="minorAscii" w:hAnsiTheme="minorAscii"/>
          <w:sz w:val="24"/>
          <w:lang w:val="en-US" w:eastAsia="zh-CN"/>
        </w:rPr>
        <w:t>激光雷达扫描环境，构建栅格</w:t>
      </w:r>
      <w:r>
        <w:rPr>
          <w:rFonts w:hint="default" w:ascii="宋体" w:hAnsi="宋体" w:eastAsia="宋体" w:cs="宋体"/>
          <w:kern w:val="0"/>
          <w:sz w:val="24"/>
          <w:szCs w:val="24"/>
          <w:lang w:val="en-US" w:eastAsia="zh-CN" w:bidi="ar"/>
        </w:rPr>
        <w:t>地图，SLAM算法规划从</w:t>
      </w:r>
      <w:r>
        <w:rPr>
          <w:rFonts w:hint="default" w:eastAsia="宋体" w:asciiTheme="minorAscii" w:hAnsiTheme="minorAscii"/>
          <w:sz w:val="24"/>
          <w:lang w:val="en-US" w:eastAsia="zh-CN"/>
        </w:rPr>
        <w:t>当前位置到目标区域的最优路径。</w:t>
      </w:r>
      <w:r>
        <w:rPr>
          <w:rFonts w:hint="eastAsia" w:eastAsia="宋体" w:asciiTheme="minorAscii" w:hAnsiTheme="minorAscii"/>
          <w:sz w:val="24"/>
          <w:lang w:val="en-US" w:eastAsia="zh-CN"/>
        </w:rPr>
        <w:t>也支持巡线，走固定路线。</w:t>
      </w:r>
    </w:p>
    <w:p w14:paraId="41F7C7FC">
      <w:pPr>
        <w:keepNext w:val="0"/>
        <w:keepLines w:val="0"/>
        <w:pageBreakBefore w:val="0"/>
        <w:widowControl w:val="0"/>
        <w:numPr>
          <w:ilvl w:val="0"/>
          <w:numId w:val="0"/>
        </w:numPr>
        <w:kinsoku/>
        <w:wordWrap/>
        <w:overflowPunct/>
        <w:topLinePunct w:val="0"/>
        <w:autoSpaceDE/>
        <w:autoSpaceDN/>
        <w:bidi w:val="0"/>
        <w:adjustRightInd/>
        <w:snapToGrid/>
        <w:textAlignment w:val="auto"/>
      </w:pPr>
      <w:r>
        <w:drawing>
          <wp:inline distT="0" distB="0" distL="114300" distR="114300">
            <wp:extent cx="5273040" cy="2491105"/>
            <wp:effectExtent l="0" t="0" r="3810" b="4445"/>
            <wp:docPr id="2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5"/>
                    <pic:cNvPicPr>
                      <a:picLocks noChangeAspect="1"/>
                    </pic:cNvPicPr>
                  </pic:nvPicPr>
                  <pic:blipFill>
                    <a:blip r:embed="rId26"/>
                    <a:stretch>
                      <a:fillRect/>
                    </a:stretch>
                  </pic:blipFill>
                  <pic:spPr>
                    <a:xfrm>
                      <a:off x="0" y="0"/>
                      <a:ext cx="5273040" cy="2491105"/>
                    </a:xfrm>
                    <a:prstGeom prst="rect">
                      <a:avLst/>
                    </a:prstGeom>
                    <a:noFill/>
                    <a:ln>
                      <a:noFill/>
                    </a:ln>
                  </pic:spPr>
                </pic:pic>
              </a:graphicData>
            </a:graphic>
          </wp:inline>
        </w:drawing>
      </w:r>
    </w:p>
    <w:p w14:paraId="25C3C5C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kern w:val="0"/>
          <w:sz w:val="24"/>
          <w:szCs w:val="16"/>
          <w:lang w:val="en-US" w:eastAsia="zh-CN" w:bidi="ar"/>
        </w:rPr>
      </w:pPr>
      <w:r>
        <w:rPr>
          <w:rFonts w:hint="eastAsia" w:ascii="宋体" w:hAnsi="宋体" w:eastAsia="宋体" w:cs="宋体"/>
          <w:b w:val="0"/>
          <w:bCs w:val="0"/>
          <w:kern w:val="0"/>
          <w:sz w:val="24"/>
          <w:szCs w:val="16"/>
          <w:lang w:val="en-US" w:eastAsia="zh-CN" w:bidi="ar"/>
        </w:rPr>
        <w:t>图3.1</w:t>
      </w:r>
      <w:r>
        <w:rPr>
          <w:rFonts w:hint="eastAsia" w:ascii="宋体" w:hAnsi="宋体" w:cs="宋体"/>
          <w:b w:val="0"/>
          <w:bCs w:val="0"/>
          <w:kern w:val="0"/>
          <w:sz w:val="24"/>
          <w:szCs w:val="16"/>
          <w:lang w:val="en-US" w:eastAsia="zh-CN" w:bidi="ar"/>
        </w:rPr>
        <w:t xml:space="preserve">6 </w:t>
      </w:r>
      <w:r>
        <w:rPr>
          <w:rFonts w:hint="eastAsia" w:ascii="宋体" w:hAnsi="宋体" w:eastAsia="宋体" w:cs="宋体"/>
          <w:b w:val="0"/>
          <w:bCs w:val="0"/>
          <w:kern w:val="0"/>
          <w:sz w:val="24"/>
          <w:szCs w:val="16"/>
          <w:lang w:val="en-US" w:eastAsia="zh-CN" w:bidi="ar"/>
        </w:rPr>
        <w:t>取色巡线</w:t>
      </w:r>
    </w:p>
    <w:p w14:paraId="5B7CD46A">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240" w:lineRule="auto"/>
        <w:ind w:left="425" w:leftChars="0" w:right="0" w:hanging="425" w:firstLineChars="0"/>
        <w:jc w:val="left"/>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自主移动</w:t>
      </w:r>
    </w:p>
    <w:p w14:paraId="52BCF0A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eastAsia="宋体" w:asciiTheme="minorAscii" w:hAnsiTheme="minorAscii"/>
          <w:sz w:val="24"/>
          <w:lang w:val="en-US" w:eastAsia="zh-CN"/>
        </w:rPr>
      </w:pPr>
      <w:r>
        <w:rPr>
          <w:rFonts w:hint="default" w:eastAsia="宋体" w:asciiTheme="minorAscii" w:hAnsiTheme="minorAscii"/>
          <w:sz w:val="24"/>
          <w:lang w:val="en-US" w:eastAsia="zh-CN"/>
        </w:rPr>
        <w:t>底盘按照规划路径移动，实时检测障碍物并动态调整，精准停靠至货物位置。</w:t>
      </w:r>
    </w:p>
    <w:p w14:paraId="7CD1C50A">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240" w:lineRule="auto"/>
        <w:ind w:left="425" w:leftChars="0" w:right="0" w:hanging="425" w:firstLineChars="0"/>
        <w:jc w:val="left"/>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分拣抓取</w:t>
      </w:r>
    </w:p>
    <w:p w14:paraId="5AF4120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ascii="宋体" w:hAnsi="宋体" w:eastAsia="宋体" w:cs="宋体"/>
          <w:b w:val="0"/>
          <w:bCs w:val="0"/>
          <w:color w:val="000000"/>
          <w:kern w:val="0"/>
          <w:sz w:val="24"/>
          <w:szCs w:val="16"/>
          <w:lang w:val="en-US" w:eastAsia="zh-CN" w:bidi="ar"/>
        </w:rPr>
      </w:pPr>
      <w:r>
        <w:rPr>
          <w:rFonts w:hint="default" w:eastAsia="宋体" w:asciiTheme="minorAscii" w:hAnsiTheme="minorAscii"/>
          <w:sz w:val="24"/>
          <w:lang w:val="en-US" w:eastAsia="zh-CN"/>
        </w:rPr>
        <w:t>舵机驱动机械臂按照预设轨迹抓取货物，确保抓取稳定性。</w:t>
      </w:r>
    </w:p>
    <w:p w14:paraId="2A13EFEC">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240" w:lineRule="auto"/>
        <w:ind w:left="425" w:leftChars="0" w:right="0" w:hanging="425" w:firstLineChars="0"/>
        <w:jc w:val="left"/>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搬运摆放</w:t>
      </w:r>
    </w:p>
    <w:p w14:paraId="624A789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eastAsia="宋体" w:asciiTheme="minorAscii" w:hAnsiTheme="minorAscii"/>
          <w:sz w:val="24"/>
          <w:lang w:val="en-US" w:eastAsia="zh-CN"/>
        </w:rPr>
      </w:pPr>
      <w:r>
        <w:rPr>
          <w:rFonts w:hint="default" w:eastAsia="宋体" w:asciiTheme="minorAscii" w:hAnsiTheme="minorAscii"/>
          <w:sz w:val="24"/>
          <w:lang w:val="en-US" w:eastAsia="zh-CN"/>
        </w:rPr>
        <w:t>将货物搬运至指定区域，按照预设规则整齐摆放，完成后返回待分拣区域，启动下一轮作业。</w:t>
      </w:r>
    </w:p>
    <w:p w14:paraId="2461CAC6">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240" w:lineRule="auto"/>
        <w:ind w:left="425" w:leftChars="0" w:right="0" w:hanging="425" w:firstLineChars="0"/>
        <w:jc w:val="left"/>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数据同步</w:t>
      </w:r>
    </w:p>
    <w:p w14:paraId="6A86E7E3">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Chars="0" w:right="0" w:rightChars="0" w:firstLine="480" w:firstLineChars="200"/>
        <w:jc w:val="left"/>
        <w:textAlignment w:val="auto"/>
        <w:rPr>
          <w:rFonts w:hint="default" w:eastAsia="宋体" w:asciiTheme="minorAscii" w:hAnsiTheme="minorAscii"/>
          <w:sz w:val="24"/>
          <w:lang w:val="en-US" w:eastAsia="zh-CN"/>
        </w:rPr>
      </w:pPr>
      <w:r>
        <w:rPr>
          <w:rFonts w:hint="default" w:eastAsia="宋体" w:asciiTheme="minorAscii" w:hAnsiTheme="minorAscii"/>
          <w:sz w:val="24"/>
          <w:lang w:val="en-US" w:eastAsia="zh-CN"/>
        </w:rPr>
        <w:t>实时上传分拣数量、运行状态、能耗数据至云端，支持用户远程查看与分析。</w:t>
      </w:r>
    </w:p>
    <w:p w14:paraId="58265B79">
      <w:pPr>
        <w:pStyle w:val="3"/>
        <w:numPr>
          <w:ilvl w:val="0"/>
          <w:numId w:val="12"/>
        </w:numPr>
        <w:bidi w:val="0"/>
        <w:ind w:left="0" w:leftChars="0" w:firstLine="0" w:firstLineChars="0"/>
        <w:rPr>
          <w:rFonts w:hint="default"/>
          <w:lang w:val="en-US" w:eastAsia="zh-CN"/>
        </w:rPr>
      </w:pPr>
      <w:bookmarkStart w:id="28" w:name="_Toc10657"/>
      <w:bookmarkStart w:id="29" w:name="_Toc26357"/>
      <w:r>
        <w:rPr>
          <w:rFonts w:hint="default"/>
          <w:lang w:val="en-US" w:eastAsia="zh-CN"/>
        </w:rPr>
        <w:t>配套服务体系</w:t>
      </w:r>
      <w:bookmarkEnd w:id="28"/>
      <w:bookmarkEnd w:id="29"/>
    </w:p>
    <w:p w14:paraId="72C770EA">
      <w:pPr>
        <w:pStyle w:val="4"/>
        <w:numPr>
          <w:ilvl w:val="0"/>
          <w:numId w:val="25"/>
        </w:numPr>
        <w:bidi w:val="0"/>
        <w:ind w:left="0" w:leftChars="0" w:firstLine="0" w:firstLineChars="0"/>
        <w:rPr>
          <w:rFonts w:hint="eastAsia"/>
          <w:lang w:val="en-US" w:eastAsia="zh-CN"/>
        </w:rPr>
      </w:pPr>
      <w:r>
        <w:rPr>
          <w:rFonts w:hint="eastAsia"/>
          <w:lang w:val="en-US" w:eastAsia="zh-CN"/>
        </w:rPr>
        <w:t>云端服务</w:t>
      </w:r>
    </w:p>
    <w:p w14:paraId="69FE50A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设备管理服务作为核心，可实现多台机器人的远程集中管控，客户通过PC端或手机端APP，随时随地查看每台设备的实时运行状态、能耗数据，实时接收设备故障预警信息，提前规避故障风险；同时支持固件OTA在线升级与参数远程配置，无需人工现场操作，客户确认后即可完成固件升级、动作参数调整等操作，经实测，固件升级全程不影响设备基础运行，参数配置响应延迟≤10ms，大幅降低客户设备管理成本。</w:t>
      </w:r>
    </w:p>
    <w:p w14:paraId="3CEC149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数据统计服务则为客户运营决策提供精准的数据支撑，破解传统仓储运营中数据统计繁琐、决策盲目的问题，云平台可自动采集设备分拣作业全过程数据，通过数据处理层的分析转化，自动生成分拣效率、货物类型分布、能耗分析等多维度报表，报表可视化呈现、逻辑清晰，明确标注分拣瓶颈、能耗高峰、高频分拣货物类型等关键信息，客户可直观掌握仓储运营状况，例如通过能耗分析报表优化设备运行时段，降低运营成本，同时报表支持导出、打印，为企业运营决策提供可靠依据。</w:t>
      </w:r>
    </w:p>
    <w:p w14:paraId="6931775E">
      <w:pPr>
        <w:keepNext w:val="0"/>
        <w:keepLines w:val="0"/>
        <w:widowControl/>
        <w:suppressLineNumbers w:val="0"/>
        <w:jc w:val="left"/>
      </w:pPr>
      <w:r>
        <w:rPr>
          <w:rFonts w:ascii="宋体" w:hAnsi="宋体" w:eastAsia="宋体" w:cs="宋体"/>
          <w:kern w:val="0"/>
          <w:sz w:val="24"/>
          <w:szCs w:val="24"/>
          <w:lang w:val="en-US" w:eastAsia="zh-CN" w:bidi="ar"/>
        </w:rPr>
        <w:t>个性化定制服务则贴合不同客户的差异化需求，结合客户实际仓储布局、货物特征（如货物尺寸、重量、堆放方式），由专业技术团队定制专属分拣逻辑与路径规划方案，例如针对狭长型仓储，优化路径规划算法，缩短设备移动距离，提升分拣效率，确保设备与客户仓储场景精准适配。</w:t>
      </w:r>
    </w:p>
    <w:p w14:paraId="35B18451">
      <w:pPr>
        <w:pStyle w:val="4"/>
        <w:numPr>
          <w:ilvl w:val="0"/>
          <w:numId w:val="25"/>
        </w:numPr>
        <w:bidi w:val="0"/>
        <w:ind w:left="0" w:leftChars="0" w:firstLine="0" w:firstLineChars="0"/>
        <w:rPr>
          <w:rFonts w:hint="default"/>
          <w:lang w:val="en-US" w:eastAsia="zh-CN"/>
        </w:rPr>
      </w:pPr>
      <w:r>
        <w:rPr>
          <w:rFonts w:hint="default"/>
          <w:lang w:val="en-US" w:eastAsia="zh-CN"/>
        </w:rPr>
        <w:t>售后与回收服务</w:t>
      </w:r>
    </w:p>
    <w:p w14:paraId="22FCABAD">
      <w:pPr>
        <w:keepNext w:val="0"/>
        <w:keepLines w:val="0"/>
        <w:widowControl/>
        <w:suppressLineNumbers w:val="0"/>
        <w:jc w:val="left"/>
      </w:pPr>
      <w:r>
        <w:rPr>
          <w:rFonts w:ascii="宋体" w:hAnsi="宋体" w:eastAsia="宋体" w:cs="宋体"/>
          <w:kern w:val="0"/>
          <w:sz w:val="24"/>
          <w:szCs w:val="24"/>
          <w:lang w:val="en-US" w:eastAsia="zh-CN" w:bidi="ar"/>
        </w:rPr>
        <w:t>安装调试阶段，安排专业技术团队提供免费上门服务，不仅完成设备的现场安装、固定，还会根据客户仓储环境进行适配调试，确保设备运行稳定，同时为客户操作人员开展一对一操作培训，涵盖设备基础操作、日常维护、简单故障排查等内容，培训完成后进行实操考核，确保操作人员可熟练操作设备，保障设备快速投入使用，通常可实现安装调试后24小时内设备正常启动作业。</w:t>
      </w:r>
    </w:p>
    <w:p w14:paraId="59C3EC8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质保服务凸显专业性与可靠性，明确核心部件（如树莓派、STM32主控、机械臂关节、电机）享受2年质保，整机享受1年免费维修服务，质保期内，非人为损坏导致的设备故障，均提供免费维修、部件更换服务，无需客户承担任何费用；同时提供7×24小时在线技术支持，客户遇到设备操作、故障等问题时，可通过电话、在线客服等方式随时咨询，技术人员平均响应时间≤15分钟，简单问题远程指导解决，复杂问题24小时内上门处理。</w:t>
      </w:r>
    </w:p>
    <w:p w14:paraId="4A389D6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运维保障服务则实现“事前预防”，技术团队定期上门巡检、保养设备，根据设备运行时长、使用场景，制定个性化巡检计划，重点检查核心部件损耗、电路连接、传感器精度等情况，同时建立专属设备健康档案，详细记录设备运行状态、巡检结果、维修记录，及时发现潜在故障隐患并处理，经实测，定期运维可使设备故障发生率降低60%以上，延长设备使用寿命。产品生命周期结束后，提供免费回收服务，避免设备闲置浪费与环境污染，回收的设备核心部件经检测、翻新后可重新利用，非核心部件进行环保拆解处理，践行绿色发展理念，同时为客户减少闲置设备处理负担。</w:t>
      </w:r>
    </w:p>
    <w:p w14:paraId="00AC8A5E">
      <w:pPr>
        <w:pStyle w:val="4"/>
        <w:numPr>
          <w:ilvl w:val="0"/>
          <w:numId w:val="25"/>
        </w:numPr>
        <w:bidi w:val="0"/>
        <w:ind w:left="0" w:leftChars="0" w:firstLine="0" w:firstLineChars="0"/>
        <w:rPr>
          <w:rFonts w:hint="default"/>
          <w:lang w:val="en-US" w:eastAsia="zh-CN"/>
        </w:rPr>
      </w:pPr>
      <w:r>
        <w:rPr>
          <w:rFonts w:hint="default"/>
          <w:lang w:val="en-US" w:eastAsia="zh-CN"/>
        </w:rPr>
        <w:t>定制服务</w:t>
      </w:r>
    </w:p>
    <w:p w14:paraId="0908D454">
      <w:pPr>
        <w:keepNext w:val="0"/>
        <w:keepLines w:val="0"/>
        <w:widowControl/>
        <w:suppressLineNumbers w:val="0"/>
        <w:jc w:val="left"/>
      </w:pPr>
      <w:r>
        <w:rPr>
          <w:rFonts w:ascii="宋体" w:hAnsi="宋体" w:eastAsia="宋体" w:cs="宋体"/>
          <w:kern w:val="0"/>
          <w:sz w:val="24"/>
          <w:szCs w:val="24"/>
          <w:lang w:val="en-US" w:eastAsia="zh-CN" w:bidi="ar"/>
        </w:rPr>
        <w:t>聚焦特殊需求适配，破解通用服务无法满足特殊行业、复杂场景需求的痛点，为客户提供专业化、个性化的定制解决方案，进一步拓宽设备的市场适配范围。功能定制服务针对冷链、危化品等特殊行业，结合行业规范与场景需求，定制专用分拣搬运功能，例如针对冷链行业，优化设备防护与温控适配能力，增加货物温度实时监测功能，确保冷链货物在分拣搬运过程中温度达标，避免货物损坏；针对危化品行业，定制防爆、防腐蚀的机械结构与电路设计，配备专用抓取夹爪，适配危化品的特殊搬运需求。场景适配服务则针对大型仓储、复杂生产线等特殊场景，破解单一设备适配性不足、作业效率偏低的问题，提供多设备协同作业解决方案，结合场景规模与作业需求，合理规划设备数量、分拣范围与任务分配，搭配专属云平台管控模块，实现多设备高效协同、无缝联动，例如针对10000㎡以上大型仓储，规划10-15台设备协同作业，按区域划分分拣范围，通过云端组网实现任务实时调配，大幅提升仓储分拣效率。接口对接服务则保障设备与客户现有系统的互联互通，支持与客户现有WMS（仓储管理系统）、ERP（企业资源计划系统）对接，实现分拣数据、设备运行数据与客户现有系统的数据同步，无需客户重构系统，避免数据孤岛，确保仓储管理、企业资源管控的连贯性，例如设备分拣数据可自动同步至WMS系统，实现库存实时更新，提升仓储管理的精细化水平。三大定制服务协同配合，全方位满足不同客户的个性化、专业化需求，进一步提升设备的核心竞争力与市场适配性。</w:t>
      </w:r>
    </w:p>
    <w:p w14:paraId="7A169C24">
      <w:pPr>
        <w:pStyle w:val="2"/>
        <w:bidi w:val="0"/>
        <w:rPr>
          <w:rFonts w:hint="default"/>
          <w:lang w:val="en-US" w:eastAsia="zh-CN"/>
        </w:rPr>
      </w:pPr>
      <w:bookmarkStart w:id="30" w:name="_Toc6539"/>
      <w:bookmarkStart w:id="31" w:name="_Toc16810"/>
      <w:r>
        <w:rPr>
          <w:rFonts w:hint="default"/>
          <w:lang w:val="en-US" w:eastAsia="zh-CN"/>
        </w:rPr>
        <w:t>系统调试与结果</w:t>
      </w:r>
      <w:bookmarkEnd w:id="30"/>
      <w:bookmarkEnd w:id="31"/>
    </w:p>
    <w:p w14:paraId="4DB039DF">
      <w:pPr>
        <w:pStyle w:val="3"/>
        <w:numPr>
          <w:ilvl w:val="0"/>
          <w:numId w:val="26"/>
        </w:numPr>
        <w:bidi w:val="0"/>
        <w:ind w:left="0" w:leftChars="0" w:firstLine="0" w:firstLineChars="0"/>
        <w:rPr>
          <w:rFonts w:hint="default"/>
          <w:lang w:val="en-US" w:eastAsia="zh-CN"/>
        </w:rPr>
      </w:pPr>
      <w:bookmarkStart w:id="32" w:name="_Toc15160"/>
      <w:bookmarkStart w:id="33" w:name="_Toc5295"/>
      <w:r>
        <w:rPr>
          <w:rFonts w:hint="default"/>
          <w:lang w:val="en-US" w:eastAsia="zh-CN"/>
        </w:rPr>
        <w:t>系统调试</w:t>
      </w:r>
      <w:bookmarkEnd w:id="32"/>
      <w:bookmarkEnd w:id="33"/>
    </w:p>
    <w:p w14:paraId="15CB7980">
      <w:pPr>
        <w:pStyle w:val="4"/>
        <w:numPr>
          <w:ilvl w:val="0"/>
          <w:numId w:val="27"/>
        </w:numPr>
        <w:bidi w:val="0"/>
        <w:ind w:left="0" w:leftChars="0" w:firstLine="0" w:firstLineChars="0"/>
        <w:rPr>
          <w:rFonts w:hint="eastAsia"/>
          <w:lang w:val="en-US" w:eastAsia="zh-CN"/>
        </w:rPr>
      </w:pPr>
      <w:r>
        <w:rPr>
          <w:rFonts w:hint="eastAsia"/>
          <w:lang w:val="en-US" w:eastAsia="zh-CN"/>
        </w:rPr>
        <w:t>硬件调试</w:t>
      </w:r>
    </w:p>
    <w:p w14:paraId="7FD1EAFE">
      <w:pPr>
        <w:keepNext w:val="0"/>
        <w:keepLines w:val="0"/>
        <w:pageBreakBefore w:val="0"/>
        <w:widowControl w:val="0"/>
        <w:numPr>
          <w:ilvl w:val="0"/>
          <w:numId w:val="28"/>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425" w:leftChars="0" w:hanging="425" w:firstLineChars="0"/>
        <w:textAlignment w:val="auto"/>
        <w:rPr>
          <w:rFonts w:hint="default" w:eastAsia="宋体" w:asciiTheme="minorAscii" w:hAnsiTheme="minorAscii"/>
          <w:sz w:val="24"/>
          <w:lang w:val="en-US" w:eastAsia="zh-CN"/>
        </w:rPr>
      </w:pPr>
      <w:r>
        <w:rPr>
          <w:rFonts w:hint="default" w:eastAsia="宋体" w:asciiTheme="minorAscii" w:hAnsiTheme="minorAscii"/>
          <w:sz w:val="24"/>
          <w:lang w:val="en-US" w:eastAsia="zh-CN"/>
        </w:rPr>
        <w:t>模块单独调试</w:t>
      </w:r>
    </w:p>
    <w:p w14:paraId="504A9B3E">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0" w:leftChars="0" w:firstLine="425" w:firstLineChars="0"/>
        <w:textAlignment w:val="auto"/>
        <w:rPr>
          <w:rFonts w:hint="default" w:eastAsia="宋体" w:asciiTheme="minorAscii" w:hAnsiTheme="minorAscii"/>
          <w:sz w:val="24"/>
          <w:lang w:val="en-US" w:eastAsia="zh-CN"/>
        </w:rPr>
      </w:pPr>
      <w:r>
        <w:rPr>
          <w:rFonts w:hint="default" w:eastAsia="宋体" w:asciiTheme="minorAscii" w:hAnsiTheme="minorAscii"/>
          <w:sz w:val="24"/>
          <w:lang w:val="en-US" w:eastAsia="zh-CN"/>
        </w:rPr>
        <w:t>分别测试激光雷达扫描精度、深度相机识别准确率、舵机抓取稳定性、底盘移动精度，确保各模块性能达标。</w:t>
      </w:r>
    </w:p>
    <w:p w14:paraId="3477A0F1">
      <w:pPr>
        <w:keepNext w:val="0"/>
        <w:keepLines w:val="0"/>
        <w:pageBreakBefore w:val="0"/>
        <w:widowControl w:val="0"/>
        <w:numPr>
          <w:ilvl w:val="0"/>
          <w:numId w:val="28"/>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425" w:leftChars="0" w:hanging="425" w:firstLineChars="0"/>
        <w:textAlignment w:val="auto"/>
        <w:rPr>
          <w:rFonts w:hint="default" w:eastAsia="宋体" w:asciiTheme="minorAscii" w:hAnsiTheme="minorAscii"/>
          <w:sz w:val="24"/>
          <w:lang w:val="en-US" w:eastAsia="zh-CN"/>
        </w:rPr>
      </w:pPr>
      <w:r>
        <w:rPr>
          <w:rFonts w:hint="default" w:eastAsia="宋体" w:asciiTheme="minorAscii" w:hAnsiTheme="minorAscii"/>
          <w:sz w:val="24"/>
          <w:lang w:val="en-US" w:eastAsia="zh-CN"/>
        </w:rPr>
        <w:t>集成调试</w:t>
      </w:r>
    </w:p>
    <w:p w14:paraId="7B26A8F7">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0" w:leftChars="0" w:firstLine="425" w:firstLineChars="0"/>
        <w:textAlignment w:val="auto"/>
        <w:rPr>
          <w:rFonts w:hint="default" w:eastAsia="宋体" w:asciiTheme="minorAscii" w:hAnsiTheme="minorAscii"/>
          <w:sz w:val="24"/>
          <w:lang w:val="en-US" w:eastAsia="zh-CN"/>
        </w:rPr>
      </w:pPr>
      <w:r>
        <w:rPr>
          <w:rFonts w:hint="default" w:eastAsia="宋体" w:asciiTheme="minorAscii" w:hAnsiTheme="minorAscii"/>
          <w:sz w:val="24"/>
          <w:lang w:val="en-US" w:eastAsia="zh-CN"/>
        </w:rPr>
        <w:t>测试各模块协同工作稳定性，验证供电系统负载能力，优化布线减少信号干扰。</w:t>
      </w:r>
    </w:p>
    <w:p w14:paraId="7200EAA1">
      <w:pPr>
        <w:keepNext w:val="0"/>
        <w:keepLines w:val="0"/>
        <w:pageBreakBefore w:val="0"/>
        <w:widowControl w:val="0"/>
        <w:numPr>
          <w:ilvl w:val="0"/>
          <w:numId w:val="28"/>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425" w:leftChars="0" w:hanging="425" w:firstLineChars="0"/>
        <w:textAlignment w:val="auto"/>
        <w:rPr>
          <w:rFonts w:hint="default" w:eastAsia="宋体" w:asciiTheme="minorAscii" w:hAnsiTheme="minorAscii"/>
          <w:sz w:val="24"/>
          <w:lang w:val="en-US" w:eastAsia="zh-CN"/>
        </w:rPr>
      </w:pPr>
      <w:r>
        <w:rPr>
          <w:rFonts w:hint="default" w:eastAsia="宋体" w:asciiTheme="minorAscii" w:hAnsiTheme="minorAscii"/>
          <w:sz w:val="24"/>
          <w:lang w:val="en-US" w:eastAsia="zh-CN"/>
        </w:rPr>
        <w:t>环境适配调试</w:t>
      </w:r>
    </w:p>
    <w:p w14:paraId="61D2FA8F">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0" w:leftChars="0" w:firstLine="425" w:firstLineChars="0"/>
        <w:textAlignment w:val="auto"/>
        <w:rPr>
          <w:rFonts w:hint="default" w:eastAsia="宋体" w:asciiTheme="minorAscii" w:hAnsiTheme="minorAscii"/>
          <w:sz w:val="24"/>
          <w:lang w:val="en-US" w:eastAsia="zh-CN"/>
        </w:rPr>
      </w:pPr>
      <w:r>
        <w:rPr>
          <w:rFonts w:hint="default" w:eastAsia="宋体" w:asciiTheme="minorAscii" w:hAnsiTheme="minorAscii"/>
          <w:sz w:val="24"/>
          <w:lang w:val="en-US" w:eastAsia="zh-CN"/>
        </w:rPr>
        <w:t>在模拟仓储、车间、快递站点等不同场景下，测试设备适应能力，调整算法参数。</w:t>
      </w:r>
    </w:p>
    <w:p w14:paraId="565CC72A">
      <w:pPr>
        <w:pStyle w:val="4"/>
        <w:numPr>
          <w:ilvl w:val="0"/>
          <w:numId w:val="27"/>
        </w:numPr>
        <w:bidi w:val="0"/>
        <w:ind w:left="0" w:leftChars="0" w:firstLine="0" w:firstLineChars="0"/>
        <w:rPr>
          <w:rFonts w:hint="default"/>
          <w:lang w:val="en-US" w:eastAsia="zh-CN"/>
        </w:rPr>
      </w:pPr>
      <w:r>
        <w:rPr>
          <w:rFonts w:hint="default"/>
          <w:lang w:val="en-US" w:eastAsia="zh-CN"/>
        </w:rPr>
        <w:t>软件调试</w:t>
      </w:r>
    </w:p>
    <w:p w14:paraId="41F84562">
      <w:pPr>
        <w:keepNext w:val="0"/>
        <w:keepLines w:val="0"/>
        <w:pageBreakBefore w:val="0"/>
        <w:widowControl w:val="0"/>
        <w:numPr>
          <w:ilvl w:val="0"/>
          <w:numId w:val="29"/>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425" w:leftChars="0" w:hanging="425" w:firstLineChars="0"/>
        <w:textAlignment w:val="auto"/>
        <w:rPr>
          <w:rFonts w:hint="default" w:eastAsia="宋体" w:asciiTheme="minorAscii" w:hAnsiTheme="minorAscii"/>
          <w:sz w:val="24"/>
          <w:lang w:val="en-US" w:eastAsia="zh-CN"/>
        </w:rPr>
      </w:pPr>
      <w:r>
        <w:rPr>
          <w:rFonts w:hint="default" w:eastAsia="宋体" w:asciiTheme="minorAscii" w:hAnsiTheme="minorAscii"/>
          <w:sz w:val="24"/>
          <w:lang w:val="en-US" w:eastAsia="zh-CN"/>
        </w:rPr>
        <w:t>核心功能调试</w:t>
      </w:r>
    </w:p>
    <w:p w14:paraId="6FCB1571">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0" w:leftChars="0" w:firstLine="425" w:firstLineChars="0"/>
        <w:textAlignment w:val="auto"/>
        <w:rPr>
          <w:rFonts w:hint="default" w:eastAsia="宋体" w:asciiTheme="minorAscii" w:hAnsiTheme="minorAscii"/>
          <w:sz w:val="24"/>
          <w:lang w:val="en-US" w:eastAsia="zh-CN"/>
        </w:rPr>
      </w:pPr>
      <w:r>
        <w:rPr>
          <w:rFonts w:hint="default" w:eastAsia="宋体" w:asciiTheme="minorAscii" w:hAnsiTheme="minorAscii"/>
          <w:sz w:val="24"/>
          <w:lang w:val="en-US" w:eastAsia="zh-CN"/>
        </w:rPr>
        <w:t>测</w:t>
      </w:r>
      <w:r>
        <w:rPr>
          <w:rFonts w:hint="default" w:ascii="宋体" w:hAnsi="宋体" w:eastAsia="宋体" w:cs="宋体"/>
          <w:kern w:val="0"/>
          <w:sz w:val="24"/>
          <w:szCs w:val="24"/>
          <w:lang w:val="en-US" w:eastAsia="zh-CN" w:bidi="ar"/>
        </w:rPr>
        <w:t>试 AI 视觉识别准确率、SLAM 导航</w:t>
      </w:r>
      <w:r>
        <w:rPr>
          <w:rFonts w:hint="default" w:eastAsia="宋体" w:asciiTheme="minorAscii" w:hAnsiTheme="minorAscii"/>
          <w:sz w:val="24"/>
          <w:lang w:val="en-US" w:eastAsia="zh-CN"/>
        </w:rPr>
        <w:t>定位精度、避障响应速度、分拣流程完整性。</w:t>
      </w:r>
    </w:p>
    <w:p w14:paraId="1F0E3D19">
      <w:pPr>
        <w:keepNext w:val="0"/>
        <w:keepLines w:val="0"/>
        <w:pageBreakBefore w:val="0"/>
        <w:widowControl w:val="0"/>
        <w:numPr>
          <w:ilvl w:val="0"/>
          <w:numId w:val="29"/>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425" w:leftChars="0" w:hanging="425" w:firstLineChars="0"/>
        <w:textAlignment w:val="auto"/>
        <w:rPr>
          <w:rFonts w:hint="default" w:eastAsia="宋体" w:asciiTheme="minorAscii" w:hAnsiTheme="minorAscii"/>
          <w:sz w:val="24"/>
          <w:lang w:val="en-US" w:eastAsia="zh-CN"/>
        </w:rPr>
      </w:pPr>
      <w:r>
        <w:rPr>
          <w:rFonts w:hint="default" w:eastAsia="宋体" w:asciiTheme="minorAscii" w:hAnsiTheme="minorAscii"/>
          <w:sz w:val="24"/>
          <w:lang w:val="en-US" w:eastAsia="zh-CN"/>
        </w:rPr>
        <w:t>性能优化</w:t>
      </w:r>
    </w:p>
    <w:p w14:paraId="59F8F277">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0" w:leftChars="0" w:firstLine="425" w:firstLineChars="0"/>
        <w:textAlignment w:val="auto"/>
        <w:rPr>
          <w:rFonts w:hint="default" w:eastAsia="宋体" w:asciiTheme="minorAscii" w:hAnsiTheme="minorAscii"/>
          <w:sz w:val="24"/>
          <w:lang w:val="en-US" w:eastAsia="zh-CN"/>
        </w:rPr>
      </w:pPr>
      <w:r>
        <w:rPr>
          <w:rFonts w:hint="default" w:eastAsia="宋体" w:asciiTheme="minorAscii" w:hAnsiTheme="minorAscii"/>
          <w:sz w:val="24"/>
          <w:lang w:val="en-US" w:eastAsia="zh-CN"/>
        </w:rPr>
        <w:t>优化算法运行效率，降低系统延迟，提升设备连续运行稳定性。</w:t>
      </w:r>
    </w:p>
    <w:p w14:paraId="6BD2F2DA">
      <w:pPr>
        <w:keepNext w:val="0"/>
        <w:keepLines w:val="0"/>
        <w:pageBreakBefore w:val="0"/>
        <w:widowControl w:val="0"/>
        <w:numPr>
          <w:ilvl w:val="0"/>
          <w:numId w:val="29"/>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425" w:leftChars="0" w:hanging="425" w:firstLineChars="0"/>
        <w:textAlignment w:val="auto"/>
        <w:rPr>
          <w:rFonts w:hint="default" w:eastAsia="宋体" w:asciiTheme="minorAscii" w:hAnsiTheme="minorAscii"/>
          <w:sz w:val="24"/>
          <w:lang w:val="en-US" w:eastAsia="zh-CN"/>
        </w:rPr>
      </w:pPr>
      <w:r>
        <w:rPr>
          <w:rFonts w:hint="default" w:eastAsia="宋体" w:asciiTheme="minorAscii" w:hAnsiTheme="minorAscii"/>
          <w:sz w:val="24"/>
          <w:lang w:val="en-US" w:eastAsia="zh-CN"/>
        </w:rPr>
        <w:t>压力测试</w:t>
      </w:r>
    </w:p>
    <w:p w14:paraId="7262CC27">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0" w:leftChars="0" w:firstLine="425" w:firstLineChars="0"/>
        <w:textAlignment w:val="auto"/>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连续 72 小时满负荷运行，测试设备故障率、分拣效率稳定性、能耗变化。</w:t>
      </w:r>
    </w:p>
    <w:p w14:paraId="2CD0BDBD">
      <w:pPr>
        <w:pStyle w:val="4"/>
        <w:numPr>
          <w:ilvl w:val="0"/>
          <w:numId w:val="27"/>
        </w:numPr>
        <w:bidi w:val="0"/>
        <w:ind w:left="0" w:leftChars="0" w:firstLine="0" w:firstLineChars="0"/>
        <w:rPr>
          <w:rFonts w:hint="default"/>
          <w:lang w:val="en-US" w:eastAsia="zh-CN"/>
        </w:rPr>
      </w:pPr>
      <w:r>
        <w:rPr>
          <w:rFonts w:hint="default"/>
          <w:lang w:val="en-US" w:eastAsia="zh-CN"/>
        </w:rPr>
        <w:t>网络与动作组专项调试</w:t>
      </w:r>
    </w:p>
    <w:tbl>
      <w:tblPr>
        <w:tblStyle w:val="14"/>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895"/>
        <w:gridCol w:w="4259"/>
        <w:gridCol w:w="2512"/>
      </w:tblGrid>
      <w:tr w14:paraId="05008B20">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2CA613E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调试项目</w:t>
            </w:r>
          </w:p>
        </w:tc>
        <w:tc>
          <w:tcPr>
            <w:tcW w:w="0" w:type="auto"/>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4791710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测试方法</w:t>
            </w:r>
          </w:p>
        </w:tc>
        <w:tc>
          <w:tcPr>
            <w:tcW w:w="0" w:type="auto"/>
            <w:tcBorders>
              <w:top w:val="nil"/>
              <w:left w:val="nil"/>
              <w:bottom w:val="nil"/>
              <w:right w:val="nil"/>
            </w:tcBorders>
            <w:shd w:val="clear" w:color="auto" w:fill="F2F2F2"/>
            <w:tcMar>
              <w:top w:w="120" w:type="dxa"/>
              <w:left w:w="180" w:type="dxa"/>
              <w:bottom w:w="120" w:type="dxa"/>
              <w:right w:w="180" w:type="dxa"/>
            </w:tcMar>
            <w:vAlign w:val="center"/>
          </w:tcPr>
          <w:p w14:paraId="2AA1E80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合格标准</w:t>
            </w:r>
          </w:p>
        </w:tc>
      </w:tr>
      <w:tr w14:paraId="33BB926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6C6F958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识别准确率</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6EC90D5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测试 50 种不同类型、尺寸的货物，统计识别成功次数</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1A4E4D6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≥95%</w:t>
            </w:r>
          </w:p>
        </w:tc>
      </w:tr>
      <w:tr w14:paraId="63AE6EE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2F8AC8F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导航定位精度</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67491E4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在 10×10m 模拟仓储环境中，记录设备停靠偏差</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0CFDEFC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≤5cm</w:t>
            </w:r>
          </w:p>
        </w:tc>
      </w:tr>
      <w:tr w14:paraId="54DE899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7295325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避障响应</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24CDDD7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设置 3 种不同类型障碍物，测试设备避障反应时间</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60301E1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≤0.3 秒</w:t>
            </w:r>
          </w:p>
        </w:tc>
      </w:tr>
      <w:tr w14:paraId="7FBDF15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68E7C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连续运行稳定性</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0D45D48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72 小时满负荷分拣，记录故障次数与分拣效率波动</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22C2B5C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无故障，效率波动≤5%</w:t>
            </w:r>
          </w:p>
        </w:tc>
      </w:tr>
      <w:tr w14:paraId="16257E3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37287E0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能耗测试</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1FAC442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连续运行 8 小时，记录耗电量</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08D3832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≤6kWh</w:t>
            </w:r>
          </w:p>
        </w:tc>
      </w:tr>
    </w:tbl>
    <w:p w14:paraId="26DA2C2C">
      <w:pPr>
        <w:keepNext w:val="0"/>
        <w:keepLines w:val="0"/>
        <w:pageBreakBefore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Chars="0"/>
        <w:jc w:val="center"/>
        <w:textAlignment w:val="auto"/>
        <w:outlineLvl w:val="9"/>
        <w:rPr>
          <w:rFonts w:hint="default"/>
          <w:lang w:val="en-US" w:eastAsia="zh-CN"/>
        </w:rPr>
      </w:pPr>
      <w:bookmarkStart w:id="34" w:name="_Toc6962"/>
      <w:r>
        <w:rPr>
          <w:rFonts w:hint="eastAsia" w:ascii="宋体" w:hAnsi="宋体" w:eastAsia="宋体" w:cs="宋体"/>
          <w:b w:val="0"/>
          <w:bCs w:val="0"/>
          <w:kern w:val="0"/>
          <w:sz w:val="24"/>
          <w:szCs w:val="16"/>
          <w:lang w:val="en-US" w:eastAsia="zh-CN" w:bidi="ar"/>
        </w:rPr>
        <w:t>表4.1</w:t>
      </w:r>
      <w:r>
        <w:rPr>
          <w:rFonts w:hint="eastAsia" w:ascii="宋体" w:hAnsi="宋体" w:cs="宋体"/>
          <w:b w:val="0"/>
          <w:bCs w:val="0"/>
          <w:kern w:val="0"/>
          <w:sz w:val="24"/>
          <w:szCs w:val="16"/>
          <w:lang w:val="en-US" w:eastAsia="zh-CN" w:bidi="ar"/>
        </w:rPr>
        <w:t xml:space="preserve"> </w:t>
      </w:r>
      <w:r>
        <w:rPr>
          <w:rFonts w:hint="default" w:ascii="宋体" w:hAnsi="宋体" w:eastAsia="宋体" w:cs="宋体"/>
          <w:b w:val="0"/>
          <w:bCs w:val="0"/>
          <w:kern w:val="0"/>
          <w:sz w:val="24"/>
          <w:szCs w:val="16"/>
          <w:lang w:val="en-US" w:eastAsia="zh-CN" w:bidi="ar"/>
        </w:rPr>
        <w:t>网络与动作组专项调试</w:t>
      </w:r>
    </w:p>
    <w:p w14:paraId="46A6637D">
      <w:pPr>
        <w:pStyle w:val="3"/>
        <w:numPr>
          <w:ilvl w:val="0"/>
          <w:numId w:val="26"/>
        </w:numPr>
        <w:bidi w:val="0"/>
        <w:ind w:left="0" w:leftChars="0" w:firstLine="0" w:firstLineChars="0"/>
        <w:rPr>
          <w:rFonts w:hint="default"/>
          <w:lang w:val="en-US" w:eastAsia="zh-CN"/>
        </w:rPr>
      </w:pPr>
      <w:bookmarkStart w:id="35" w:name="_Toc984"/>
      <w:r>
        <w:rPr>
          <w:rFonts w:hint="default"/>
          <w:lang w:val="en-US" w:eastAsia="zh-CN"/>
        </w:rPr>
        <w:t>测试结果</w:t>
      </w:r>
      <w:bookmarkEnd w:id="34"/>
      <w:bookmarkEnd w:id="35"/>
    </w:p>
    <w:p w14:paraId="6AAEC413">
      <w:pPr>
        <w:pStyle w:val="4"/>
        <w:numPr>
          <w:ilvl w:val="0"/>
          <w:numId w:val="30"/>
        </w:numPr>
        <w:bidi w:val="0"/>
        <w:ind w:left="0" w:leftChars="0" w:firstLine="0" w:firstLineChars="0"/>
        <w:rPr>
          <w:rFonts w:hint="eastAsia"/>
          <w:lang w:val="en-US" w:eastAsia="zh-CN"/>
        </w:rPr>
      </w:pPr>
      <w:r>
        <w:rPr>
          <w:rFonts w:hint="eastAsia"/>
          <w:lang w:val="en-US" w:eastAsia="zh-CN"/>
        </w:rPr>
        <w:t>基本性能测试</w:t>
      </w:r>
    </w:p>
    <w:tbl>
      <w:tblPr>
        <w:tblStyle w:val="14"/>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624"/>
        <w:gridCol w:w="3487"/>
        <w:gridCol w:w="1995"/>
        <w:gridCol w:w="1560"/>
      </w:tblGrid>
      <w:tr w14:paraId="0D69BB7D">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24E5E2F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测试项目</w:t>
            </w:r>
          </w:p>
        </w:tc>
        <w:tc>
          <w:tcPr>
            <w:tcW w:w="0" w:type="auto"/>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1BEC03F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测试条件</w:t>
            </w:r>
          </w:p>
        </w:tc>
        <w:tc>
          <w:tcPr>
            <w:tcW w:w="0" w:type="auto"/>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470EA99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实际结果</w:t>
            </w:r>
          </w:p>
        </w:tc>
        <w:tc>
          <w:tcPr>
            <w:tcW w:w="1273" w:type="dxa"/>
            <w:tcBorders>
              <w:top w:val="nil"/>
              <w:left w:val="nil"/>
              <w:bottom w:val="nil"/>
              <w:right w:val="nil"/>
            </w:tcBorders>
            <w:shd w:val="clear" w:color="auto" w:fill="F2F2F2"/>
            <w:tcMar>
              <w:top w:w="120" w:type="dxa"/>
              <w:left w:w="180" w:type="dxa"/>
              <w:bottom w:w="120" w:type="dxa"/>
              <w:right w:w="180" w:type="dxa"/>
            </w:tcMar>
            <w:vAlign w:val="center"/>
          </w:tcPr>
          <w:p w14:paraId="58E01F0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合格标准</w:t>
            </w:r>
          </w:p>
        </w:tc>
      </w:tr>
      <w:tr w14:paraId="79FA492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2D8CF9E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分拣准确率</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34D76E9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50 种货物（尺寸 3×3cm-30×30cm）</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7D07D81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96.8%</w:t>
            </w:r>
          </w:p>
        </w:tc>
        <w:tc>
          <w:tcPr>
            <w:tcW w:w="1273" w:type="dxa"/>
            <w:tcBorders>
              <w:top w:val="nil"/>
              <w:left w:val="nil"/>
              <w:bottom w:val="nil"/>
              <w:right w:val="nil"/>
            </w:tcBorders>
            <w:shd w:val="clear" w:color="auto" w:fill="FFFFFF"/>
            <w:tcMar>
              <w:top w:w="120" w:type="dxa"/>
              <w:left w:w="180" w:type="dxa"/>
              <w:bottom w:w="120" w:type="dxa"/>
              <w:right w:w="180" w:type="dxa"/>
            </w:tcMar>
            <w:vAlign w:val="center"/>
          </w:tcPr>
          <w:p w14:paraId="209BF50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≥95%</w:t>
            </w:r>
          </w:p>
        </w:tc>
      </w:tr>
      <w:tr w14:paraId="45D9FD2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31A3895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导航定位精度</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7A0FD0D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10×10m 模拟仓储，5 个停靠点</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139A97D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平均偏差 3.2cm</w:t>
            </w:r>
          </w:p>
        </w:tc>
        <w:tc>
          <w:tcPr>
            <w:tcW w:w="1273" w:type="dxa"/>
            <w:tcBorders>
              <w:top w:val="nil"/>
              <w:left w:val="nil"/>
              <w:bottom w:val="nil"/>
              <w:right w:val="nil"/>
            </w:tcBorders>
            <w:shd w:val="clear" w:color="auto" w:fill="FFFFFF"/>
            <w:tcMar>
              <w:top w:w="120" w:type="dxa"/>
              <w:left w:w="180" w:type="dxa"/>
              <w:bottom w:w="120" w:type="dxa"/>
              <w:right w:w="180" w:type="dxa"/>
            </w:tcMar>
            <w:vAlign w:val="center"/>
          </w:tcPr>
          <w:p w14:paraId="1B3C945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≤5cm</w:t>
            </w:r>
          </w:p>
        </w:tc>
      </w:tr>
      <w:tr w14:paraId="1DFA636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61FFFB4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避障响应时间</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0A08758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静态、动态障碍物各 3 个</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3E61422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平均 0.21 秒</w:t>
            </w:r>
          </w:p>
        </w:tc>
        <w:tc>
          <w:tcPr>
            <w:tcW w:w="1273" w:type="dxa"/>
            <w:tcBorders>
              <w:top w:val="nil"/>
              <w:left w:val="nil"/>
              <w:bottom w:val="nil"/>
              <w:right w:val="nil"/>
            </w:tcBorders>
            <w:shd w:val="clear" w:color="auto" w:fill="FFFFFF"/>
            <w:tcMar>
              <w:top w:w="120" w:type="dxa"/>
              <w:left w:w="180" w:type="dxa"/>
              <w:bottom w:w="120" w:type="dxa"/>
              <w:right w:w="180" w:type="dxa"/>
            </w:tcMar>
            <w:vAlign w:val="center"/>
          </w:tcPr>
          <w:p w14:paraId="7F890E8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≤0.3 秒</w:t>
            </w:r>
          </w:p>
        </w:tc>
      </w:tr>
      <w:tr w14:paraId="0EAB3C4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7FC46C0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连续运行时间</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535E313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满负荷分拣</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4CAB982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72 小时无故障</w:t>
            </w:r>
          </w:p>
        </w:tc>
        <w:tc>
          <w:tcPr>
            <w:tcW w:w="1273" w:type="dxa"/>
            <w:tcBorders>
              <w:top w:val="nil"/>
              <w:left w:val="nil"/>
              <w:bottom w:val="nil"/>
              <w:right w:val="nil"/>
            </w:tcBorders>
            <w:shd w:val="clear" w:color="auto" w:fill="FFFFFF"/>
            <w:tcMar>
              <w:top w:w="120" w:type="dxa"/>
              <w:left w:w="180" w:type="dxa"/>
              <w:bottom w:w="120" w:type="dxa"/>
              <w:right w:w="180" w:type="dxa"/>
            </w:tcMar>
            <w:vAlign w:val="center"/>
          </w:tcPr>
          <w:p w14:paraId="64DEFE2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≥48 小时</w:t>
            </w:r>
          </w:p>
        </w:tc>
      </w:tr>
      <w:tr w14:paraId="4649F26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4D96722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日均分拣量</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31E95FE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8 小时连续运行</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6F19069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2150 件</w:t>
            </w:r>
          </w:p>
        </w:tc>
        <w:tc>
          <w:tcPr>
            <w:tcW w:w="1273" w:type="dxa"/>
            <w:tcBorders>
              <w:top w:val="nil"/>
              <w:left w:val="nil"/>
              <w:bottom w:val="nil"/>
              <w:right w:val="nil"/>
            </w:tcBorders>
            <w:shd w:val="clear" w:color="auto" w:fill="FFFFFF"/>
            <w:tcMar>
              <w:top w:w="120" w:type="dxa"/>
              <w:left w:w="180" w:type="dxa"/>
              <w:bottom w:w="120" w:type="dxa"/>
              <w:right w:w="180" w:type="dxa"/>
            </w:tcMar>
            <w:vAlign w:val="center"/>
          </w:tcPr>
          <w:p w14:paraId="0473F82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≥2000 件</w:t>
            </w:r>
          </w:p>
        </w:tc>
      </w:tr>
      <w:tr w14:paraId="69D8F3A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3D90C73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续航时间</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71FCE3B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标准工况</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23CB578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8.5 小时</w:t>
            </w:r>
          </w:p>
        </w:tc>
        <w:tc>
          <w:tcPr>
            <w:tcW w:w="1273" w:type="dxa"/>
            <w:tcBorders>
              <w:top w:val="nil"/>
              <w:left w:val="nil"/>
              <w:bottom w:val="nil"/>
              <w:right w:val="nil"/>
            </w:tcBorders>
            <w:shd w:val="clear" w:color="auto" w:fill="FFFFFF"/>
            <w:tcMar>
              <w:top w:w="120" w:type="dxa"/>
              <w:left w:w="180" w:type="dxa"/>
              <w:bottom w:w="120" w:type="dxa"/>
              <w:right w:w="180" w:type="dxa"/>
            </w:tcMar>
            <w:vAlign w:val="center"/>
          </w:tcPr>
          <w:p w14:paraId="4DA5460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≥8 小时</w:t>
            </w:r>
          </w:p>
        </w:tc>
      </w:tr>
      <w:tr w14:paraId="18385E0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1B82347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能耗</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7591A1F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连续运行 8 小时</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6366F09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5.7kWh</w:t>
            </w:r>
          </w:p>
        </w:tc>
        <w:tc>
          <w:tcPr>
            <w:tcW w:w="1273" w:type="dxa"/>
            <w:tcBorders>
              <w:top w:val="nil"/>
              <w:left w:val="nil"/>
              <w:bottom w:val="nil"/>
              <w:right w:val="nil"/>
            </w:tcBorders>
            <w:shd w:val="clear" w:color="auto" w:fill="FFFFFF"/>
            <w:tcMar>
              <w:top w:w="120" w:type="dxa"/>
              <w:left w:w="180" w:type="dxa"/>
              <w:bottom w:w="120" w:type="dxa"/>
              <w:right w:w="180" w:type="dxa"/>
            </w:tcMar>
            <w:vAlign w:val="center"/>
          </w:tcPr>
          <w:p w14:paraId="067576B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color w:val="000000"/>
                <w:kern w:val="0"/>
                <w:sz w:val="24"/>
                <w:szCs w:val="16"/>
                <w:lang w:val="en-US" w:eastAsia="zh-CN" w:bidi="ar"/>
              </w:rPr>
            </w:pPr>
            <w:r>
              <w:rPr>
                <w:rFonts w:hint="default" w:ascii="宋体" w:hAnsi="宋体" w:eastAsia="宋体" w:cs="宋体"/>
                <w:b w:val="0"/>
                <w:bCs w:val="0"/>
                <w:color w:val="000000"/>
                <w:kern w:val="0"/>
                <w:sz w:val="24"/>
                <w:szCs w:val="16"/>
                <w:lang w:val="en-US" w:eastAsia="zh-CN" w:bidi="ar"/>
              </w:rPr>
              <w:t>≤6kWh</w:t>
            </w:r>
          </w:p>
        </w:tc>
      </w:tr>
    </w:tbl>
    <w:p w14:paraId="2D6F416F">
      <w:pPr>
        <w:keepNext w:val="0"/>
        <w:keepLines w:val="0"/>
        <w:pageBreakBefore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Chars="0"/>
        <w:jc w:val="center"/>
        <w:textAlignment w:val="auto"/>
        <w:outlineLvl w:val="9"/>
        <w:rPr>
          <w:rFonts w:hint="default" w:eastAsia="宋体" w:asciiTheme="minorAscii" w:hAnsiTheme="minorAscii"/>
          <w:b/>
          <w:bCs/>
          <w:sz w:val="28"/>
          <w:szCs w:val="28"/>
          <w:lang w:val="en-US" w:eastAsia="zh-CN"/>
        </w:rPr>
      </w:pPr>
      <w:r>
        <w:rPr>
          <w:rFonts w:hint="eastAsia" w:ascii="宋体" w:hAnsi="宋体" w:eastAsia="宋体" w:cs="宋体"/>
          <w:b w:val="0"/>
          <w:bCs w:val="0"/>
          <w:kern w:val="0"/>
          <w:sz w:val="24"/>
          <w:szCs w:val="16"/>
          <w:lang w:val="en-US" w:eastAsia="zh-CN" w:bidi="ar"/>
        </w:rPr>
        <w:t>表4.2</w:t>
      </w:r>
      <w:r>
        <w:rPr>
          <w:rFonts w:hint="eastAsia" w:ascii="宋体" w:hAnsi="宋体" w:cs="宋体"/>
          <w:b w:val="0"/>
          <w:bCs w:val="0"/>
          <w:kern w:val="0"/>
          <w:sz w:val="24"/>
          <w:szCs w:val="16"/>
          <w:lang w:val="en-US" w:eastAsia="zh-CN" w:bidi="ar"/>
        </w:rPr>
        <w:t xml:space="preserve"> </w:t>
      </w:r>
      <w:r>
        <w:rPr>
          <w:rFonts w:hint="default" w:eastAsia="宋体" w:asciiTheme="minorAscii" w:hAnsiTheme="minorAscii"/>
          <w:sz w:val="24"/>
          <w:lang w:val="en-US" w:eastAsia="zh-CN"/>
        </w:rPr>
        <w:t>基本性能测试</w:t>
      </w:r>
    </w:p>
    <w:p w14:paraId="05218D9A">
      <w:pPr>
        <w:pStyle w:val="4"/>
        <w:numPr>
          <w:ilvl w:val="0"/>
          <w:numId w:val="30"/>
        </w:numPr>
        <w:bidi w:val="0"/>
        <w:ind w:left="0" w:leftChars="0" w:firstLine="0" w:firstLineChars="0"/>
        <w:rPr>
          <w:rFonts w:hint="default"/>
          <w:lang w:val="en-US" w:eastAsia="zh-CN"/>
        </w:rPr>
      </w:pPr>
      <w:r>
        <w:rPr>
          <w:rFonts w:hint="default"/>
          <w:lang w:val="en-US" w:eastAsia="zh-CN"/>
        </w:rPr>
        <w:t>核心功能测试</w:t>
      </w:r>
    </w:p>
    <w:p w14:paraId="2424A024">
      <w:pPr>
        <w:keepNext w:val="0"/>
        <w:keepLines w:val="0"/>
        <w:pageBreakBefore w:val="0"/>
        <w:widowControl w:val="0"/>
        <w:numPr>
          <w:ilvl w:val="0"/>
          <w:numId w:val="31"/>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425" w:leftChars="0" w:hanging="425" w:firstLineChars="0"/>
        <w:textAlignment w:val="auto"/>
        <w:rPr>
          <w:rFonts w:hint="default" w:eastAsia="宋体" w:asciiTheme="minorAscii" w:hAnsiTheme="minorAscii"/>
          <w:sz w:val="24"/>
          <w:lang w:val="en-US" w:eastAsia="zh-CN"/>
        </w:rPr>
      </w:pPr>
      <w:r>
        <w:rPr>
          <w:rFonts w:hint="default" w:eastAsia="宋体" w:asciiTheme="minorAscii" w:hAnsiTheme="minorAscii"/>
          <w:sz w:val="24"/>
          <w:lang w:val="en-US" w:eastAsia="zh-CN"/>
        </w:rPr>
        <w:t>全自主分拣</w:t>
      </w:r>
    </w:p>
    <w:p w14:paraId="659C61C6">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0" w:leftChars="0" w:firstLine="425" w:firstLineChars="0"/>
        <w:textAlignment w:val="auto"/>
        <w:rPr>
          <w:rFonts w:hint="default" w:ascii="宋体" w:hAnsi="宋体" w:eastAsia="宋体" w:cs="宋体"/>
          <w:kern w:val="0"/>
          <w:sz w:val="24"/>
          <w:szCs w:val="24"/>
          <w:lang w:val="en-US" w:eastAsia="zh-CN" w:bidi="ar"/>
        </w:rPr>
      </w:pPr>
      <w:r>
        <w:rPr>
          <w:rFonts w:hint="default" w:eastAsia="宋体" w:asciiTheme="minorAscii" w:hAnsiTheme="minorAscii"/>
          <w:sz w:val="24"/>
          <w:lang w:val="en-US" w:eastAsia="zh-CN"/>
        </w:rPr>
        <w:t>成功实</w:t>
      </w:r>
      <w:r>
        <w:rPr>
          <w:rFonts w:hint="default" w:ascii="宋体" w:hAnsi="宋体" w:eastAsia="宋体" w:cs="宋体"/>
          <w:kern w:val="0"/>
          <w:sz w:val="24"/>
          <w:szCs w:val="24"/>
          <w:lang w:val="en-US" w:eastAsia="zh-CN" w:bidi="ar"/>
        </w:rPr>
        <w:t>现</w:t>
      </w:r>
      <w:r>
        <w:rPr>
          <w:rFonts w:hint="eastAsia" w:ascii="宋体" w:hAnsi="宋体" w:eastAsia="宋体" w:cs="宋体"/>
          <w:kern w:val="0"/>
          <w:sz w:val="24"/>
          <w:szCs w:val="24"/>
          <w:lang w:val="en-US" w:eastAsia="zh-CN" w:bidi="ar"/>
        </w:rPr>
        <w:t>“</w:t>
      </w:r>
      <w:r>
        <w:rPr>
          <w:rFonts w:hint="default" w:ascii="宋体" w:hAnsi="宋体" w:eastAsia="宋体" w:cs="宋体"/>
          <w:kern w:val="0"/>
          <w:sz w:val="24"/>
          <w:szCs w:val="24"/>
          <w:lang w:val="en-US" w:eastAsia="zh-CN" w:bidi="ar"/>
        </w:rPr>
        <w:t>识别 - 抓取 - 搬运 - 摆放</w:t>
      </w:r>
      <w:r>
        <w:rPr>
          <w:rFonts w:hint="eastAsia" w:ascii="宋体" w:hAnsi="宋体" w:eastAsia="宋体" w:cs="宋体"/>
          <w:kern w:val="0"/>
          <w:sz w:val="24"/>
          <w:szCs w:val="24"/>
          <w:lang w:val="en-US" w:eastAsia="zh-CN" w:bidi="ar"/>
        </w:rPr>
        <w:t>”</w:t>
      </w:r>
      <w:r>
        <w:rPr>
          <w:rFonts w:hint="default" w:ascii="宋体" w:hAnsi="宋体" w:eastAsia="宋体" w:cs="宋体"/>
          <w:kern w:val="0"/>
          <w:sz w:val="24"/>
          <w:szCs w:val="24"/>
          <w:lang w:val="en-US" w:eastAsia="zh-CN" w:bidi="ar"/>
        </w:rPr>
        <w:t>全流程自动化，无人工干预情况下稳定运行，分拣准确率达96.8%。</w:t>
      </w:r>
    </w:p>
    <w:p w14:paraId="6375B448">
      <w:pPr>
        <w:keepNext w:val="0"/>
        <w:keepLines w:val="0"/>
        <w:pageBreakBefore w:val="0"/>
        <w:widowControl w:val="0"/>
        <w:numPr>
          <w:ilvl w:val="0"/>
          <w:numId w:val="31"/>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425" w:leftChars="0" w:hanging="425" w:firstLineChars="0"/>
        <w:textAlignment w:val="auto"/>
        <w:rPr>
          <w:rFonts w:hint="default" w:eastAsia="宋体" w:asciiTheme="minorAscii" w:hAnsiTheme="minorAscii"/>
          <w:sz w:val="24"/>
          <w:lang w:val="en-US" w:eastAsia="zh-CN"/>
        </w:rPr>
      </w:pPr>
      <w:r>
        <w:rPr>
          <w:rFonts w:hint="default" w:eastAsia="宋体" w:asciiTheme="minorAscii" w:hAnsiTheme="minorAscii"/>
          <w:sz w:val="24"/>
          <w:lang w:val="en-US" w:eastAsia="zh-CN"/>
        </w:rPr>
        <w:t>动态避障</w:t>
      </w:r>
    </w:p>
    <w:p w14:paraId="3DDF2DEE">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0" w:leftChars="0" w:firstLine="425" w:firstLineChars="0"/>
        <w:textAlignment w:val="auto"/>
        <w:rPr>
          <w:rFonts w:hint="default" w:eastAsia="宋体" w:asciiTheme="minorAscii" w:hAnsiTheme="minorAscii"/>
          <w:sz w:val="24"/>
          <w:lang w:val="en-US" w:eastAsia="zh-CN"/>
        </w:rPr>
      </w:pPr>
      <w:r>
        <w:rPr>
          <w:rFonts w:hint="default" w:eastAsia="宋体" w:asciiTheme="minorAscii" w:hAnsiTheme="minorAscii"/>
          <w:sz w:val="24"/>
          <w:lang w:val="en-US" w:eastAsia="zh-CN"/>
        </w:rPr>
        <w:t>在人员走动、临时障碍物等动态环境中，设备可快速识别并调整路径，避障成</w:t>
      </w:r>
      <w:r>
        <w:rPr>
          <w:rFonts w:hint="default" w:ascii="宋体" w:hAnsi="宋体" w:eastAsia="宋体" w:cs="宋体"/>
          <w:kern w:val="0"/>
          <w:sz w:val="24"/>
          <w:szCs w:val="24"/>
          <w:lang w:val="en-US" w:eastAsia="zh-CN" w:bidi="ar"/>
        </w:rPr>
        <w:t>功率100%。</w:t>
      </w:r>
    </w:p>
    <w:p w14:paraId="4F543811">
      <w:pPr>
        <w:keepNext w:val="0"/>
        <w:keepLines w:val="0"/>
        <w:pageBreakBefore w:val="0"/>
        <w:widowControl w:val="0"/>
        <w:numPr>
          <w:ilvl w:val="0"/>
          <w:numId w:val="31"/>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425" w:leftChars="0" w:hanging="425" w:firstLineChars="0"/>
        <w:textAlignment w:val="auto"/>
        <w:rPr>
          <w:rFonts w:hint="default" w:eastAsia="宋体" w:asciiTheme="minorAscii" w:hAnsiTheme="minorAscii"/>
          <w:sz w:val="24"/>
          <w:lang w:val="en-US" w:eastAsia="zh-CN"/>
        </w:rPr>
      </w:pPr>
      <w:r>
        <w:rPr>
          <w:rFonts w:hint="default" w:eastAsia="宋体" w:asciiTheme="minorAscii" w:hAnsiTheme="minorAscii"/>
          <w:sz w:val="24"/>
          <w:lang w:val="en-US" w:eastAsia="zh-CN"/>
        </w:rPr>
        <w:t>多场景适配</w:t>
      </w:r>
    </w:p>
    <w:p w14:paraId="7E67DDAF">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0" w:leftChars="0" w:firstLine="425" w:firstLineChars="0"/>
        <w:textAlignment w:val="auto"/>
        <w:rPr>
          <w:rFonts w:hint="default" w:eastAsia="宋体" w:asciiTheme="minorAscii" w:hAnsiTheme="minorAscii"/>
          <w:sz w:val="24"/>
          <w:lang w:val="en-US" w:eastAsia="zh-CN"/>
        </w:rPr>
      </w:pPr>
      <w:r>
        <w:rPr>
          <w:rFonts w:hint="default" w:eastAsia="宋体" w:asciiTheme="minorAscii" w:hAnsiTheme="minorAscii"/>
          <w:sz w:val="24"/>
          <w:lang w:val="en-US" w:eastAsia="zh-CN"/>
        </w:rPr>
        <w:t>在仓储货架、车间流水线、快递分拣台等不同场景下，无需调试即可快速适配，分拣效率稳定。</w:t>
      </w:r>
    </w:p>
    <w:p w14:paraId="5003D081">
      <w:pPr>
        <w:keepNext w:val="0"/>
        <w:keepLines w:val="0"/>
        <w:pageBreakBefore w:val="0"/>
        <w:widowControl w:val="0"/>
        <w:numPr>
          <w:ilvl w:val="0"/>
          <w:numId w:val="31"/>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425" w:leftChars="0" w:hanging="425" w:firstLineChars="0"/>
        <w:textAlignment w:val="auto"/>
        <w:rPr>
          <w:rFonts w:hint="default" w:eastAsia="宋体" w:asciiTheme="minorAscii" w:hAnsiTheme="minorAscii"/>
          <w:sz w:val="24"/>
          <w:lang w:val="en-US" w:eastAsia="zh-CN"/>
        </w:rPr>
      </w:pPr>
      <w:r>
        <w:rPr>
          <w:rFonts w:hint="default" w:eastAsia="宋体" w:asciiTheme="minorAscii" w:hAnsiTheme="minorAscii"/>
          <w:sz w:val="24"/>
          <w:lang w:val="en-US" w:eastAsia="zh-CN"/>
        </w:rPr>
        <w:t>远程监控</w:t>
      </w:r>
    </w:p>
    <w:p w14:paraId="45AF5D31">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0" w:leftChars="0" w:firstLine="425" w:firstLineChars="0"/>
        <w:textAlignment w:val="auto"/>
        <w:rPr>
          <w:rFonts w:hint="default" w:eastAsia="宋体" w:asciiTheme="minorAscii" w:hAnsiTheme="minorAscii"/>
          <w:sz w:val="24"/>
          <w:lang w:val="en-US" w:eastAsia="zh-CN"/>
        </w:rPr>
      </w:pPr>
      <w:r>
        <w:rPr>
          <w:rFonts w:hint="default" w:eastAsia="宋体" w:asciiTheme="minorAscii" w:hAnsiTheme="minorAscii"/>
          <w:sz w:val="24"/>
          <w:lang w:val="en-US" w:eastAsia="zh-CN"/>
        </w:rPr>
        <w:t>通</w:t>
      </w:r>
      <w:r>
        <w:rPr>
          <w:rFonts w:hint="default" w:ascii="宋体" w:hAnsi="宋体" w:eastAsia="宋体" w:cs="宋体"/>
          <w:kern w:val="0"/>
          <w:sz w:val="24"/>
          <w:szCs w:val="24"/>
          <w:lang w:val="en-US" w:eastAsia="zh-CN" w:bidi="ar"/>
        </w:rPr>
        <w:t>过APP实时查看设</w:t>
      </w:r>
      <w:r>
        <w:rPr>
          <w:rFonts w:hint="default" w:eastAsia="宋体" w:asciiTheme="minorAscii" w:hAnsiTheme="minorAscii"/>
          <w:sz w:val="24"/>
          <w:lang w:val="en-US" w:eastAsia="zh-CN"/>
        </w:rPr>
        <w:t>备运行状态、分拣数据，远程下达作业指令，响应延迟≤1秒。</w:t>
      </w:r>
    </w:p>
    <w:p w14:paraId="2943D81C">
      <w:pPr>
        <w:pStyle w:val="4"/>
        <w:numPr>
          <w:ilvl w:val="0"/>
          <w:numId w:val="30"/>
        </w:numPr>
        <w:bidi w:val="0"/>
        <w:ind w:left="0" w:leftChars="0" w:firstLine="0" w:firstLineChars="0"/>
        <w:rPr>
          <w:rFonts w:hint="default"/>
          <w:lang w:val="en-US" w:eastAsia="zh-CN"/>
        </w:rPr>
      </w:pPr>
      <w:r>
        <w:rPr>
          <w:rFonts w:hint="default"/>
          <w:lang w:val="en-US" w:eastAsia="zh-CN"/>
        </w:rPr>
        <w:t>稳定性测试</w:t>
      </w:r>
    </w:p>
    <w:p w14:paraId="2C20412D">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0" w:leftChars="0" w:firstLine="425" w:firstLineChars="0"/>
        <w:textAlignment w:val="auto"/>
        <w:rPr>
          <w:rFonts w:hint="default" w:eastAsia="宋体" w:asciiTheme="minorAscii" w:hAnsiTheme="minorAscii"/>
          <w:sz w:val="24"/>
          <w:lang w:val="en-US" w:eastAsia="zh-CN"/>
        </w:rPr>
      </w:pPr>
      <w:r>
        <w:rPr>
          <w:rFonts w:hint="default" w:eastAsia="宋体" w:asciiTheme="minorAscii" w:hAnsiTheme="minorAscii"/>
          <w:sz w:val="24"/>
          <w:lang w:val="en-US" w:eastAsia="zh-CN"/>
        </w:rPr>
        <w:t>连续运</w:t>
      </w:r>
      <w:r>
        <w:rPr>
          <w:rFonts w:hint="default" w:ascii="宋体" w:hAnsi="宋体" w:eastAsia="宋体" w:cs="宋体"/>
          <w:kern w:val="0"/>
          <w:sz w:val="24"/>
          <w:szCs w:val="24"/>
          <w:lang w:val="en-US" w:eastAsia="zh-CN" w:bidi="ar"/>
        </w:rPr>
        <w:t>行72小时测</w:t>
      </w:r>
      <w:r>
        <w:rPr>
          <w:rFonts w:hint="default" w:eastAsia="宋体" w:asciiTheme="minorAscii" w:hAnsiTheme="minorAscii"/>
          <w:sz w:val="24"/>
          <w:lang w:val="en-US" w:eastAsia="zh-CN"/>
        </w:rPr>
        <w:t>试：硬件无故障，网络连接稳定；软件功能正常，无崩溃或卡顿；交互响应与动作执行保持稳定性能。</w:t>
      </w:r>
    </w:p>
    <w:p w14:paraId="4DBBF78A">
      <w:pPr>
        <w:pStyle w:val="2"/>
        <w:bidi w:val="0"/>
        <w:rPr>
          <w:rFonts w:hint="default"/>
          <w:lang w:val="en-US" w:eastAsia="zh-CN"/>
        </w:rPr>
      </w:pPr>
      <w:bookmarkStart w:id="36" w:name="_Toc22052"/>
      <w:bookmarkStart w:id="37" w:name="_Toc21298"/>
      <w:r>
        <w:rPr>
          <w:rFonts w:hint="default"/>
          <w:lang w:val="en-US" w:eastAsia="zh-CN"/>
        </w:rPr>
        <w:t>商业模式</w:t>
      </w:r>
      <w:bookmarkEnd w:id="36"/>
      <w:bookmarkEnd w:id="37"/>
    </w:p>
    <w:p w14:paraId="7F8A39FD">
      <w:pPr>
        <w:pStyle w:val="3"/>
        <w:numPr>
          <w:ilvl w:val="0"/>
          <w:numId w:val="32"/>
        </w:numPr>
        <w:bidi w:val="0"/>
        <w:rPr>
          <w:rFonts w:hint="default"/>
          <w:lang w:val="en-US" w:eastAsia="zh-CN"/>
        </w:rPr>
      </w:pPr>
      <w:bookmarkStart w:id="38" w:name="_Toc4685"/>
      <w:bookmarkStart w:id="39" w:name="_Toc4833"/>
      <w:r>
        <w:rPr>
          <w:rFonts w:hint="default"/>
          <w:lang w:val="en-US" w:eastAsia="zh-CN"/>
        </w:rPr>
        <w:t>核心商业模式：“</w:t>
      </w:r>
      <w:r>
        <w:rPr>
          <w:rFonts w:hint="eastAsia"/>
          <w:lang w:val="en-US" w:eastAsia="zh-CN"/>
        </w:rPr>
        <w:t>硬件</w:t>
      </w:r>
      <w:r>
        <w:rPr>
          <w:rFonts w:hint="default"/>
          <w:lang w:val="en-US" w:eastAsia="zh-CN"/>
        </w:rPr>
        <w:t xml:space="preserve"> + </w:t>
      </w:r>
      <w:r>
        <w:rPr>
          <w:rFonts w:hint="eastAsia"/>
          <w:lang w:val="en-US" w:eastAsia="zh-CN"/>
        </w:rPr>
        <w:t>软件</w:t>
      </w:r>
      <w:r>
        <w:rPr>
          <w:rFonts w:hint="default"/>
          <w:lang w:val="en-US" w:eastAsia="zh-CN"/>
        </w:rPr>
        <w:t xml:space="preserve"> + </w:t>
      </w:r>
      <w:r>
        <w:rPr>
          <w:rFonts w:hint="eastAsia"/>
          <w:lang w:val="en-US" w:eastAsia="zh-CN"/>
        </w:rPr>
        <w:t>服务</w:t>
      </w:r>
      <w:r>
        <w:rPr>
          <w:rFonts w:hint="default"/>
          <w:lang w:val="en-US" w:eastAsia="zh-CN"/>
        </w:rPr>
        <w:t>” 三位一体</w:t>
      </w:r>
      <w:bookmarkEnd w:id="38"/>
      <w:bookmarkEnd w:id="39"/>
    </w:p>
    <w:p w14:paraId="41F9407D">
      <w:pPr>
        <w:keepNext w:val="0"/>
        <w:keepLines w:val="0"/>
        <w:widowControl/>
        <w:suppressLineNumbers w:val="0"/>
        <w:jc w:val="left"/>
      </w:pPr>
      <w:r>
        <w:rPr>
          <w:rFonts w:ascii="宋体" w:hAnsi="宋体" w:eastAsia="宋体" w:cs="宋体"/>
          <w:kern w:val="0"/>
          <w:sz w:val="24"/>
          <w:szCs w:val="24"/>
          <w:lang w:val="en-US" w:eastAsia="zh-CN" w:bidi="ar"/>
        </w:rPr>
        <w:t>本次核心商业模式采用“硬件+软件+服务”三位一体架构，兼顾盈利性与客户适配性，破解中小微企业采购成本高、大型客户批量需求难满足、特殊行业适配不足的痛点。产品销售分三类适配不同客户：线上电商+线下经销商联动，向中小微企业推出标准化产品，定价3.98万元/台，性价比突出；物流枢纽、大型制造企业批量采购可享优惠，10台以上9折、50台以上8折，降低大客户采购成本；特殊行业定制产品，按功能需求溢价20%-50%，精准匹配行业专属需求。</w:t>
      </w:r>
    </w:p>
    <w:p w14:paraId="789807F3">
      <w:pPr>
        <w:keepNext w:val="0"/>
        <w:keepLines w:val="0"/>
        <w:widowControl/>
        <w:suppressLineNumbers w:val="0"/>
        <w:jc w:val="left"/>
      </w:pPr>
      <w:r>
        <w:rPr>
          <w:rFonts w:ascii="宋体" w:hAnsi="宋体" w:eastAsia="宋体" w:cs="宋体"/>
          <w:kern w:val="0"/>
          <w:sz w:val="24"/>
          <w:szCs w:val="24"/>
          <w:lang w:val="en-US" w:eastAsia="zh-CN" w:bidi="ar"/>
        </w:rPr>
        <w:t>服务增值聚焦云端会员，基础版随硬件免费赠送，涵盖设备控制、数据统计等核心功能，降低客户入门门槛；企业版年费2000元/台，提供高级数据分析、多设备协同、系统接口对接等增值服务，适配企业精细化管理需求。运维服务分层保障，基础版含2年质保、7×24小时在线技术支持及定期巡检，筑牢设备运行防线；增值运维按次或年度收费，提供上门维修、设备升级、人员培训等服务；绿色回收免费提供，回收后给予最高10%新设备采购折扣，提升客户复购意愿，形成商业闭环。</w:t>
      </w:r>
    </w:p>
    <w:p w14:paraId="0CE49F94">
      <w:pPr>
        <w:pStyle w:val="3"/>
        <w:numPr>
          <w:ilvl w:val="0"/>
          <w:numId w:val="32"/>
        </w:numPr>
        <w:bidi w:val="0"/>
        <w:rPr>
          <w:rFonts w:hint="default"/>
          <w:lang w:val="en-US" w:eastAsia="zh-CN"/>
        </w:rPr>
      </w:pPr>
      <w:bookmarkStart w:id="40" w:name="_Toc19847"/>
      <w:bookmarkStart w:id="41" w:name="_Toc3661"/>
      <w:r>
        <w:rPr>
          <w:rFonts w:hint="default"/>
          <w:lang w:val="en-US" w:eastAsia="zh-CN"/>
        </w:rPr>
        <w:t>市场价值</w:t>
      </w:r>
      <w:r>
        <w:rPr>
          <w:rFonts w:hint="eastAsia"/>
          <w:lang w:val="en-US" w:eastAsia="zh-CN"/>
        </w:rPr>
        <w:t>与</w:t>
      </w:r>
      <w:r>
        <w:rPr>
          <w:rFonts w:hint="default"/>
          <w:lang w:val="en-US" w:eastAsia="zh-CN"/>
        </w:rPr>
        <w:t>未来展望</w:t>
      </w:r>
      <w:bookmarkEnd w:id="40"/>
      <w:bookmarkEnd w:id="41"/>
    </w:p>
    <w:p w14:paraId="55FE4D43">
      <w:pPr>
        <w:pStyle w:val="4"/>
        <w:bidi w:val="0"/>
        <w:ind w:left="0" w:leftChars="0" w:firstLine="0" w:firstLineChars="0"/>
        <w:rPr>
          <w:rFonts w:hint="eastAsia"/>
          <w:lang w:val="en-US" w:eastAsia="zh-CN"/>
        </w:rPr>
      </w:pPr>
      <w:r>
        <w:rPr>
          <w:rFonts w:hint="eastAsia"/>
          <w:lang w:val="en-US" w:eastAsia="zh-CN"/>
        </w:rPr>
        <w:t>市场价值</w:t>
      </w:r>
    </w:p>
    <w:p w14:paraId="728B3F3D">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40" w:lineRule="auto"/>
        <w:ind w:left="0" w:leftChars="0" w:firstLine="425" w:firstLineChars="0"/>
        <w:textAlignment w:val="auto"/>
        <w:rPr>
          <w:rFonts w:hint="default" w:eastAsia="宋体" w:asciiTheme="minorAscii" w:hAnsiTheme="minorAscii"/>
          <w:sz w:val="24"/>
          <w:lang w:val="en-US" w:eastAsia="zh-CN"/>
        </w:rPr>
      </w:pPr>
      <w:r>
        <w:rPr>
          <w:rFonts w:ascii="宋体" w:hAnsi="宋体" w:eastAsia="宋体" w:cs="宋体"/>
          <w:sz w:val="24"/>
          <w:szCs w:val="24"/>
        </w:rPr>
        <w:t>本设备从企业运营、行业发展、绿色发展三大维度释放核心市场价值，首要解决工业物流领域人力成本高、分拣效率低的行业痛点，切实帮助企业实现降本增效的运营目标，单台设备每年可直接为企业节省人力成本 15-25 万元，同时将分拣环节的作业效率提升 150% 以上，大幅缩短作业周期、提升产能利用率。降本增效的实际效益让设备具备高性价比优势，这一优势能有效降低中小微企业在自动化改造中的资金与技术门槛，进而推动工业物流全行业的自动化升级进程，为行业数字化转型注入实操性强的落地动能。行业数字化转型的推进更需兼顾生态发展需求，本设备深度践行绿色工业发展理念，凭借低功耗的运行设计减少能源消耗，搭配可回收的硬件材质设计降低资源浪费，从能源使用、物料利用两大核心环节形成绿色运行闭环，为工业领域实现碳减排目标提供可落地、可复制的实践解决方案，实现产业发展与生态保护的协同推进。</w:t>
      </w:r>
    </w:p>
    <w:p w14:paraId="05D8BF14">
      <w:pPr>
        <w:pStyle w:val="4"/>
        <w:bidi w:val="0"/>
        <w:ind w:left="0" w:leftChars="0" w:firstLine="0" w:firstLineChars="0"/>
        <w:rPr>
          <w:rFonts w:hint="default"/>
          <w:lang w:val="en-US" w:eastAsia="zh-CN"/>
        </w:rPr>
      </w:pPr>
      <w:r>
        <w:rPr>
          <w:rFonts w:hint="default"/>
          <w:lang w:val="en-US" w:eastAsia="zh-CN"/>
        </w:rPr>
        <w:t>未来展望</w:t>
      </w:r>
    </w:p>
    <w:p w14:paraId="07D628AC">
      <w:pPr>
        <w:keepNext w:val="0"/>
        <w:keepLines w:val="0"/>
        <w:widowControl/>
        <w:suppressLineNumbers w:val="0"/>
        <w:jc w:val="left"/>
      </w:pPr>
      <w:r>
        <w:rPr>
          <w:rFonts w:ascii="宋体" w:hAnsi="宋体" w:eastAsia="宋体" w:cs="宋体"/>
          <w:kern w:val="0"/>
          <w:sz w:val="24"/>
          <w:szCs w:val="24"/>
          <w:lang w:val="en-US" w:eastAsia="zh-CN" w:bidi="ar"/>
        </w:rPr>
        <w:t>当前设备主要聚焦货物尺寸识别与单一机械臂分拣，难以适配复杂仓储的多样化需求，因此未来将重点推进三大功能升级：新增货物重量识别功能，通过在机械臂末端加装高精度重量传感器，精准识别货物重量（测量范围0.1-10kg，精度±0.05kg），结合尺寸数据实现更精细化的分拣分类，例如区分轻重货物并采用不同的抓取力度与摆放方式，避免重物损坏或轻物滑落；推进多机械臂协同作业功能落地，打破当前单机械臂作业的效率瓶颈，通过云平台协同管控，实现2-4台机械臂同步作业，例如一台负责抓取、一台负责转运、一台负责摆放，大幅提升分拣吞吐量；新增无人叉车对接功能，实现机器人分拣与无人叉车转运的无缝衔接，解决货物分拣后转运不便的痛点，让分拣、转运全流程无需人工干预，进一步提升仓储物流的自动化水平。</w:t>
      </w:r>
    </w:p>
    <w:p w14:paraId="377E5BB4">
      <w:pPr>
        <w:keepNext w:val="0"/>
        <w:keepLines w:val="0"/>
        <w:widowControl/>
        <w:suppressLineNumbers w:val="0"/>
        <w:jc w:val="left"/>
      </w:pPr>
      <w:r>
        <w:rPr>
          <w:rFonts w:ascii="宋体" w:hAnsi="宋体" w:eastAsia="宋体" w:cs="宋体"/>
          <w:kern w:val="0"/>
          <w:sz w:val="24"/>
          <w:szCs w:val="24"/>
          <w:lang w:val="en-US" w:eastAsia="zh-CN" w:bidi="ar"/>
        </w:rPr>
        <w:t>功能升级的同时，技术迭代将作为核心支撑，持续提升设备的智能化水平与环境适配能力，破解当前设备在复杂场景下识别不准、导航受限的问题。在AI视觉算法优化上，将基于云平台积累的海量分拣数据，迭代优化YOLOv8模型，增加复杂环境适配模块，重点提升昏暗、粉尘、货物堆叠遮挡等场景下的货物识别准确率，目标将识别准确率从当前的98%提升至99.5%以上，减少因识别失误导致的分拣故障；在SLAM导航系统升级上，优化地图构建算法，扩大导航覆盖范围，支持10000㎡以上大型仓储环境的精准适配，同时提升动态环境的适应能力，可实时规避仓储内移动的人员、临时堆放的货物，确保导航路径规划的精准性与灵活性，让设备可适配更多类型、更大规模的仓储场景。</w:t>
      </w:r>
    </w:p>
    <w:p w14:paraId="3ECCFFFA">
      <w:pPr>
        <w:keepNext w:val="0"/>
        <w:keepLines w:val="0"/>
        <w:widowControl/>
        <w:suppressLineNumbers w:val="0"/>
        <w:jc w:val="left"/>
      </w:pPr>
      <w:r>
        <w:rPr>
          <w:rFonts w:ascii="宋体" w:hAnsi="宋体" w:eastAsia="宋体" w:cs="宋体"/>
          <w:kern w:val="0"/>
          <w:sz w:val="24"/>
          <w:szCs w:val="24"/>
          <w:lang w:val="en-US" w:eastAsia="zh-CN" w:bidi="ar"/>
        </w:rPr>
        <w:t>技术与功能的双重升级，将为场景拓展奠定坚实基础，未来将打破当前仅聚焦工业仓储的局限，向更多细分物流场景延伸，挖掘更广阔的市场空间。从工业仓储场景出发，逐步延伸至新零售门店补货场景，适配门店小型化、多SKU的补货需求，实现门店货架自动补货、缺货预警，例如在连锁超市门店，机器人可根据货架库存数据，自动完成商品补货与摆放；拓展至社区团购配送分拣场景，针对社区团购“多品类、小批量、多站点”的分拣需求，实现货物快速分拣、分类打包，对接末端配送环节，提升社区团购配送效率；延伸至医药冷链搬运场景，优化设备防护与温控适配能力，实现医药、冷链货物的精准分拣、搬运，严格遵循医药冷链运输规范，避免货物损坏，全方位覆盖工业、零售、社区、医药等多领域物流需求。</w:t>
      </w:r>
    </w:p>
    <w:p w14:paraId="523F126C">
      <w:pPr>
        <w:keepNext w:val="0"/>
        <w:keepLines w:val="0"/>
        <w:widowControl/>
        <w:suppressLineNumbers w:val="0"/>
        <w:jc w:val="left"/>
        <w:rPr>
          <w:rFonts w:hint="default"/>
          <w:lang w:val="en-US" w:eastAsia="zh-CN"/>
        </w:rPr>
      </w:pPr>
      <w:r>
        <w:rPr>
          <w:rFonts w:ascii="宋体" w:hAnsi="宋体" w:eastAsia="宋体" w:cs="宋体"/>
          <w:kern w:val="0"/>
          <w:sz w:val="24"/>
          <w:szCs w:val="24"/>
          <w:lang w:val="en-US" w:eastAsia="zh-CN" w:bidi="ar"/>
        </w:rPr>
        <w:t>在功能、技术、场景持续突破的基础上，未来将重点推进生态构建，打破单一设备的局限，打造全方位的工业物流智能装备生态平台，破解行业内上下游资源分散、解决方案单一的痛点。通过搭建生态平台，整合设备研发、生产、销售、运维，以及软件升级、数据服务、物流方案设计等上下游资源，打破资源壁垒，实现资源协同优化；为客户提供“设备+软件+服务+数据”一体化解决方案，不仅提供智能分拣机器人设备，还配套专属云平台软件、全程运维服务，以及基于数据的精细化管理建议，例如为客户量身定制仓储分拣方案，提供设备定期运维、故障快速排查、算法个性化优化等服务；同时联动上下游企业，推动生态内资源共享、优势互补，持续完善生态服务体系，提升行业整体智能化水平，实现企业与行业的共同发展，打造可持续、可迭代的工业物流智能装备生态。</w:t>
      </w:r>
    </w:p>
    <w:p w14:paraId="586BB405">
      <w:pPr>
        <w:pStyle w:val="2"/>
        <w:bidi w:val="0"/>
        <w:rPr>
          <w:rFonts w:hint="default"/>
          <w:lang w:val="en-US" w:eastAsia="zh-CN"/>
        </w:rPr>
      </w:pPr>
      <w:bookmarkStart w:id="42" w:name="_Toc26792"/>
      <w:bookmarkStart w:id="43" w:name="_Toc24976"/>
      <w:r>
        <w:rPr>
          <w:rFonts w:hint="default"/>
          <w:lang w:val="en-US" w:eastAsia="zh-CN"/>
        </w:rPr>
        <w:t>公司发展战略</w:t>
      </w:r>
      <w:bookmarkEnd w:id="42"/>
      <w:bookmarkEnd w:id="43"/>
    </w:p>
    <w:p w14:paraId="3EDDE086">
      <w:pPr>
        <w:pStyle w:val="3"/>
        <w:numPr>
          <w:ilvl w:val="0"/>
          <w:numId w:val="33"/>
        </w:numPr>
        <w:bidi w:val="0"/>
        <w:ind w:left="0" w:leftChars="0" w:firstLine="0" w:firstLineChars="0"/>
        <w:rPr>
          <w:rFonts w:hint="default"/>
          <w:lang w:val="en-US" w:eastAsia="zh-CN"/>
        </w:rPr>
      </w:pPr>
      <w:bookmarkStart w:id="44" w:name="_Toc7436"/>
      <w:bookmarkStart w:id="45" w:name="_Toc30818"/>
      <w:r>
        <w:rPr>
          <w:rFonts w:hint="default"/>
          <w:lang w:val="en-US" w:eastAsia="zh-CN"/>
        </w:rPr>
        <w:t>战略核心目标</w:t>
      </w:r>
      <w:bookmarkEnd w:id="44"/>
      <w:bookmarkEnd w:id="45"/>
    </w:p>
    <w:p w14:paraId="56F2E478">
      <w:pPr>
        <w:keepNext w:val="0"/>
        <w:keepLines w:val="0"/>
        <w:widowControl/>
        <w:suppressLineNumbers w:val="0"/>
        <w:jc w:val="left"/>
      </w:pPr>
      <w:r>
        <w:rPr>
          <w:rFonts w:hint="default" w:ascii="宋体" w:hAnsi="宋体" w:eastAsia="宋体" w:cs="宋体"/>
          <w:kern w:val="0"/>
          <w:sz w:val="24"/>
          <w:szCs w:val="24"/>
          <w:lang w:val="en-US" w:eastAsia="zh-CN" w:bidi="ar"/>
        </w:rPr>
        <w:t>5</w:t>
      </w:r>
      <w:r>
        <w:rPr>
          <w:rFonts w:ascii="宋体" w:hAnsi="宋体" w:eastAsia="宋体" w:cs="宋体"/>
          <w:kern w:val="0"/>
          <w:sz w:val="24"/>
          <w:szCs w:val="24"/>
          <w:lang w:val="en-US" w:eastAsia="zh-CN" w:bidi="ar"/>
        </w:rPr>
        <w:t>本次战略核心目标明确，聚焦全自主分拣搬运机器人细分领域，力争5年内跻身行业龙头地位，打破当前市场格局分散、技术参差不齐的痛点，打造兼具竞争力与影响力的行业标杆。立足前文“硬件+软件+服务”三位一体商业模式，进一步升级构建“硬件-软件-服务-生态”一体化商业体系，实现从单一产品供给向全链条价值服务的跨越。</w:t>
      </w:r>
    </w:p>
    <w:p w14:paraId="571A571F">
      <w:pPr>
        <w:keepNext w:val="0"/>
        <w:keepLines w:val="0"/>
        <w:widowControl/>
        <w:suppressLineNumbers w:val="0"/>
        <w:jc w:val="left"/>
        <w:rPr>
          <w:rFonts w:hint="default"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核心目标落地聚焦三大关键维度，确保目标可量化、可落地：市场层面，实现产品市场占有率行业领先，重点抢占中小微企业及大型物流枢纽市场，打造标杆客户案例；技术层面，加大研发投入，实现技术专利数量位居行业前列，重点突破复杂场景适配、算法迭代等核心技术；服务层面，持续优化全流程服务，确保客户满意度稳居行业头部，依托优质服务提升客户粘性，最终通过三维协同，夯实龙头地位，实现企业与行业的共赢发展。</w:t>
      </w:r>
    </w:p>
    <w:p w14:paraId="00CC2E17">
      <w:pPr>
        <w:pStyle w:val="3"/>
        <w:numPr>
          <w:ilvl w:val="0"/>
          <w:numId w:val="33"/>
        </w:numPr>
        <w:bidi w:val="0"/>
        <w:ind w:left="0" w:leftChars="0" w:firstLine="0" w:firstLineChars="0"/>
        <w:rPr>
          <w:rFonts w:hint="default"/>
          <w:lang w:val="en-US" w:eastAsia="zh-CN"/>
        </w:rPr>
      </w:pPr>
      <w:bookmarkStart w:id="46" w:name="_Toc7815"/>
      <w:bookmarkStart w:id="47" w:name="_Toc27127"/>
      <w:r>
        <w:rPr>
          <w:rFonts w:hint="default"/>
          <w:lang w:val="en-US" w:eastAsia="zh-CN"/>
        </w:rPr>
        <w:t>阶段性发展战略</w:t>
      </w:r>
      <w:bookmarkEnd w:id="46"/>
      <w:bookmarkEnd w:id="47"/>
    </w:p>
    <w:p w14:paraId="1A432C0B">
      <w:pPr>
        <w:pStyle w:val="4"/>
        <w:numPr>
          <w:ilvl w:val="0"/>
          <w:numId w:val="34"/>
        </w:numPr>
        <w:bidi w:val="0"/>
        <w:ind w:left="0" w:leftChars="0" w:firstLine="0" w:firstLineChars="0"/>
        <w:rPr>
          <w:rFonts w:hint="eastAsia"/>
          <w:lang w:val="en-US" w:eastAsia="zh-CN"/>
        </w:rPr>
      </w:pPr>
      <w:r>
        <w:rPr>
          <w:rFonts w:hint="eastAsia"/>
          <w:lang w:val="en-US" w:eastAsia="zh-CN"/>
        </w:rPr>
        <w:t>初创期（第1-2 年）</w:t>
      </w:r>
    </w:p>
    <w:p w14:paraId="15E5B23D">
      <w:pPr>
        <w:keepNext w:val="0"/>
        <w:keepLines w:val="0"/>
        <w:widowControl/>
        <w:suppressLineNumbers w:val="0"/>
        <w:jc w:val="left"/>
        <w:rPr>
          <w:rFonts w:hint="default"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市场布局聚焦长三角、珠三角核心物流区域，依托当地产业优势打开销路，力争两年内实现累计销量500台，同时与20家以上优质经销商建立深度合作，搭建稳定的线下销售网络。同步优化产品性能，针对性解决初期使用反馈的痛点，并行申请15项以上核心专利，其中发明专利5项、实用新型专利10项，筑牢技术壁垒。此外，搭建标准化生产与售后服务体系，建立3-5家核心供应商合作关系保障供应链稳定，全力申请高新技术企业认证，降低运营成本、提升企业竞争力。</w:t>
      </w:r>
    </w:p>
    <w:p w14:paraId="13DA600B">
      <w:pPr>
        <w:pStyle w:val="4"/>
        <w:numPr>
          <w:ilvl w:val="0"/>
          <w:numId w:val="34"/>
        </w:numPr>
        <w:bidi w:val="0"/>
        <w:ind w:left="0" w:leftChars="0" w:firstLine="0" w:firstLineChars="0"/>
        <w:rPr>
          <w:rFonts w:hint="default"/>
          <w:lang w:val="en-US" w:eastAsia="zh-CN"/>
        </w:rPr>
      </w:pPr>
      <w:r>
        <w:rPr>
          <w:rFonts w:hint="default"/>
          <w:lang w:val="en-US" w:eastAsia="zh-CN"/>
        </w:rPr>
        <w:t>成长期（第3-4年）</w:t>
      </w:r>
    </w:p>
    <w:p w14:paraId="1C426A48">
      <w:pPr>
        <w:keepNext w:val="0"/>
        <w:keepLines w:val="0"/>
        <w:widowControl/>
        <w:suppressLineNumbers w:val="0"/>
        <w:jc w:val="left"/>
      </w:pPr>
      <w:r>
        <w:rPr>
          <w:rFonts w:ascii="宋体" w:hAnsi="宋体" w:eastAsia="宋体" w:cs="宋体"/>
          <w:kern w:val="0"/>
          <w:sz w:val="24"/>
          <w:szCs w:val="24"/>
          <w:lang w:val="en-US" w:eastAsia="zh-CN" w:bidi="ar"/>
        </w:rPr>
        <w:t>市场布局突破核心区域局限，拓展成渝、中部城市群等潜力市场，力争两年内累计销量突破3000台，同步发展100家以上优质经销商，搭建全国性销售网络。重点搭建云端服务平台，强化软件增值能力，推动软件订阅收入占比提升至20%以上，优化盈利结构。深化绿色供应链合作，将核心部件可回收利用率提升至80%，对接碳交易平台获取额外收益，践行绿色发展理念。同时扩大研发与销售团队规模，完善股权激励机制，吸引并留存核心人才，为持续发展提供坚实支撑。</w:t>
      </w:r>
    </w:p>
    <w:p w14:paraId="2B8A981F">
      <w:pPr>
        <w:pStyle w:val="4"/>
        <w:numPr>
          <w:ilvl w:val="0"/>
          <w:numId w:val="34"/>
        </w:numPr>
        <w:bidi w:val="0"/>
        <w:ind w:left="0" w:leftChars="0" w:firstLine="0" w:firstLineChars="0"/>
        <w:rPr>
          <w:rFonts w:hint="default"/>
          <w:lang w:val="en-US" w:eastAsia="zh-CN"/>
        </w:rPr>
      </w:pPr>
      <w:r>
        <w:rPr>
          <w:rFonts w:hint="default"/>
          <w:lang w:val="en-US" w:eastAsia="zh-CN"/>
        </w:rPr>
        <w:t>成熟期（第5年及以后）</w:t>
      </w:r>
    </w:p>
    <w:p w14:paraId="5FD51CA6">
      <w:pPr>
        <w:keepNext w:val="0"/>
        <w:keepLines w:val="0"/>
        <w:widowControl/>
        <w:suppressLineNumbers w:val="0"/>
        <w:jc w:val="left"/>
      </w:pPr>
      <w:r>
        <w:rPr>
          <w:rFonts w:ascii="宋体" w:hAnsi="宋体" w:eastAsia="宋体" w:cs="宋体"/>
          <w:kern w:val="0"/>
          <w:sz w:val="24"/>
          <w:szCs w:val="24"/>
          <w:lang w:val="en-US" w:eastAsia="zh-CN" w:bidi="ar"/>
        </w:rPr>
        <w:t>立足国内市场根基，重点拓展海外市场，聚焦东南亚、欧洲等物流需求旺盛区域，搭建海外经销商与服务体系，力争年销量突破5000台，扩大全球市场影响力。优化盈利结构，强化软件与服务增值能力，推动其收入占比超30%，实现盈利多元化。同时构建完整绿色生态体系，深化与高校、科研机构共建研发平台，聚焦核心技术迭代，践行绿色发展理念，最终打造全球知名的全自主分拣搬运机器人品牌，实现可持续发展。</w:t>
      </w:r>
    </w:p>
    <w:p w14:paraId="2360327F">
      <w:pPr>
        <w:pStyle w:val="3"/>
        <w:numPr>
          <w:ilvl w:val="0"/>
          <w:numId w:val="33"/>
        </w:numPr>
        <w:bidi w:val="0"/>
        <w:ind w:left="0" w:leftChars="0" w:firstLine="0" w:firstLineChars="0"/>
        <w:rPr>
          <w:rFonts w:hint="default"/>
          <w:lang w:val="en-US" w:eastAsia="zh-CN"/>
        </w:rPr>
      </w:pPr>
      <w:bookmarkStart w:id="48" w:name="_Toc22265"/>
      <w:bookmarkStart w:id="49" w:name="_Toc4768"/>
      <w:r>
        <w:rPr>
          <w:rFonts w:hint="default"/>
          <w:lang w:val="en-US" w:eastAsia="zh-CN"/>
        </w:rPr>
        <w:t>核心战略支撑</w:t>
      </w:r>
      <w:bookmarkEnd w:id="48"/>
      <w:bookmarkEnd w:id="49"/>
    </w:p>
    <w:p w14:paraId="0A22E9B2">
      <w:pPr>
        <w:keepNext w:val="0"/>
        <w:keepLines w:val="0"/>
        <w:widowControl/>
        <w:suppressLineNumbers w:val="0"/>
        <w:jc w:val="left"/>
      </w:pPr>
      <w:r>
        <w:rPr>
          <w:rFonts w:ascii="宋体" w:hAnsi="宋体" w:eastAsia="宋体" w:cs="宋体"/>
          <w:kern w:val="0"/>
          <w:sz w:val="24"/>
          <w:szCs w:val="24"/>
          <w:lang w:val="en-US" w:eastAsia="zh-CN" w:bidi="ar"/>
        </w:rPr>
        <w:t>核心战略支撑聚焦研发、渠道、服务、政策四大关键维度，破解前文各阶段性战略落地中技术滞后、渠道不畅、客户粘性不足、资源支撑欠缺的核心痛点，为5年成为细分领域龙头的目标提供全方位、可落地的保障，四大维度协同发力、层层衔接，确保整体战略稳步推进。研发投入是技术创新的根基，结合工业机器人行业规范要求与企业发展实际，将研发投入比例微调为营业收入的18%，既保障研发资金充足，又兼顾企业盈利平衡，重点聚焦AI视觉、SLAM导航、节能技术等核心领域，持续迭代产品性能、突破技术瓶颈，为产品升级与场景拓展筑牢技术壁垒。</w:t>
      </w:r>
    </w:p>
    <w:p w14:paraId="5026C3BD">
      <w:pPr>
        <w:keepNext w:val="0"/>
        <w:keepLines w:val="0"/>
        <w:widowControl/>
        <w:suppressLineNumbers w:val="0"/>
        <w:jc w:val="left"/>
      </w:pPr>
      <w:r>
        <w:rPr>
          <w:rFonts w:ascii="宋体" w:hAnsi="宋体" w:eastAsia="宋体" w:cs="宋体"/>
          <w:kern w:val="0"/>
          <w:sz w:val="24"/>
          <w:szCs w:val="24"/>
          <w:lang w:val="en-US" w:eastAsia="zh-CN" w:bidi="ar"/>
        </w:rPr>
        <w:t>研发投入保障技术领先，渠道建设则强化市场渗透力，破解市场覆盖不足、销量目标难以达成的问题。采用线上线下深度融合模式，线上优化电商平台运营、完善产品展示与咨询服务，提升线上转化效率；线下深耕经销商拓展与行业合作伙伴联动，重点对接物流、制造领域优质合作伙伴，逐步构建覆盖长三角、珠三角、成渝及中部城市群的全国性销售网络，为各阶段销量目标的达成提供渠道支撑。</w:t>
      </w:r>
    </w:p>
    <w:p w14:paraId="24D8DC41">
      <w:pPr>
        <w:keepNext w:val="0"/>
        <w:keepLines w:val="0"/>
        <w:widowControl/>
        <w:suppressLineNumbers w:val="0"/>
        <w:jc w:val="left"/>
      </w:pPr>
      <w:r>
        <w:rPr>
          <w:rFonts w:ascii="宋体" w:hAnsi="宋体" w:eastAsia="宋体" w:cs="宋体"/>
          <w:kern w:val="0"/>
          <w:sz w:val="24"/>
          <w:szCs w:val="24"/>
          <w:lang w:val="en-US" w:eastAsia="zh-CN" w:bidi="ar"/>
        </w:rPr>
        <w:t>渠道拓宽的同时，客户服务是夯实市场根基的关键，以客户需求为核心，摒弃形式化服务，持续优化产品与全流程服务，及时响应客户在设备使用、运维中的各类诉求，定期收集客户反馈并优化产品性能与服务流程，力争客户满意度稳定在95%以上，有效提升客户粘性与复购率。</w:t>
      </w:r>
    </w:p>
    <w:p w14:paraId="37BCDE22">
      <w:pPr>
        <w:keepNext w:val="0"/>
        <w:keepLines w:val="0"/>
        <w:widowControl/>
        <w:suppressLineNumbers w:val="0"/>
        <w:jc w:val="left"/>
        <w:rPr>
          <w:rFonts w:hint="default"/>
          <w:lang w:val="en-US" w:eastAsia="zh-CN"/>
        </w:rPr>
      </w:pPr>
      <w:r>
        <w:rPr>
          <w:rFonts w:ascii="宋体" w:hAnsi="宋体" w:eastAsia="宋体" w:cs="宋体"/>
          <w:kern w:val="0"/>
          <w:sz w:val="24"/>
          <w:szCs w:val="24"/>
          <w:lang w:val="en-US" w:eastAsia="zh-CN" w:bidi="ar"/>
        </w:rPr>
        <w:t>此外，政策对接为企业发展借力赋能，密切跟踪工业机器人行业政策动态，重点对接《工业机器人行业规范条件（2024版）》相关要求，积极申请绿色产品认证、研发补贴，同时主动对接政府采购渠道，参考邮政7000台无人配送车采购等案例，争取物流、制造领域政府采购订单，通过获取政策红利降低运营成本、拓宽市场空间，四大支撑协同发力，形成“技术-市场-服务-政策”的良性闭环，确保整体战略落地见效。</w:t>
      </w:r>
      <w:bookmarkStart w:id="50" w:name="_Toc16728"/>
    </w:p>
    <w:p w14:paraId="5844083B">
      <w:pPr>
        <w:pStyle w:val="2"/>
        <w:bidi w:val="0"/>
        <w:rPr>
          <w:rFonts w:hint="default"/>
          <w:lang w:val="en-US" w:eastAsia="zh-CN"/>
        </w:rPr>
      </w:pPr>
      <w:bookmarkStart w:id="51" w:name="_Toc11509"/>
      <w:r>
        <w:rPr>
          <w:rFonts w:hint="default"/>
          <w:lang w:val="en-US" w:eastAsia="zh-CN"/>
        </w:rPr>
        <w:t>财务分析</w:t>
      </w:r>
      <w:bookmarkEnd w:id="50"/>
      <w:bookmarkEnd w:id="51"/>
    </w:p>
    <w:p w14:paraId="5F018A83">
      <w:pPr>
        <w:pStyle w:val="3"/>
        <w:numPr>
          <w:ilvl w:val="0"/>
          <w:numId w:val="35"/>
        </w:numPr>
        <w:bidi w:val="0"/>
        <w:ind w:left="0" w:leftChars="0" w:firstLine="0" w:firstLineChars="0"/>
        <w:rPr>
          <w:rFonts w:hint="default"/>
          <w:lang w:val="en-US" w:eastAsia="zh-CN"/>
        </w:rPr>
      </w:pPr>
      <w:bookmarkStart w:id="52" w:name="_Toc30273"/>
      <w:bookmarkStart w:id="53" w:name="_Toc27963"/>
      <w:r>
        <w:rPr>
          <w:rFonts w:hint="default"/>
          <w:lang w:val="en-US" w:eastAsia="zh-CN"/>
        </w:rPr>
        <w:t>财务假设</w:t>
      </w:r>
      <w:bookmarkEnd w:id="52"/>
      <w:bookmarkEnd w:id="53"/>
    </w:p>
    <w:p w14:paraId="61532FA7">
      <w:pPr>
        <w:keepNext w:val="0"/>
        <w:keepLines w:val="0"/>
        <w:widowControl/>
        <w:suppressLineNumbers w:val="0"/>
        <w:jc w:val="left"/>
        <w:rPr>
          <w:rFonts w:hint="default"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本项目基于行业发展规律与产品市场布局节奏，制定全周期精细化财务假设，核心围绕产品定价、销量、成本及政策优惠四大维度展开量化规划。产品定价采用分层定价策略，标准化基础产品统一定价3.98万元/台，针对不同行业的定制化产品按基础价溢价20%-50%，同时配套软件服务按年收取订阅费，单台年费区间为2000-5000元。分层定价策略将匹配产品市场推广的不同阶段，对应制定阶梯式销量预测目标，项目初创期（1-2年）完成市场初步拓客，累计销量达500台；成长期（3-4年）实现市场快速渗透，累计销量提升至2500台；成熟期（第5年）完成市场深度覆盖，单年销量突破5000台。销量规模的逐步扩大将推动规模效应释放，单位生产成本随产能提升持续下降，初创期单位生产成本1.8万元，成长期降至1.6万元，成熟期进一步优化至1.4万元，同时期间费用（销售、管理、研发）占营业收入的比例随运营效率提升逐年递减，初创期为40%、成长期降至35%、成熟期优化至30%。成本端的持续优化叠加政策端的多重利好，本项目可享受15%企业所得税、13%增值税的税收优惠政策，且项目全周期累计可获得政府政策补贴2000万元，为项目各阶段运营提供稳定的财务支撑。</w:t>
      </w:r>
    </w:p>
    <w:p w14:paraId="1150693A">
      <w:pPr>
        <w:pStyle w:val="3"/>
        <w:numPr>
          <w:ilvl w:val="0"/>
          <w:numId w:val="35"/>
        </w:numPr>
        <w:bidi w:val="0"/>
        <w:ind w:left="0" w:leftChars="0" w:firstLine="0" w:firstLineChars="0"/>
        <w:rPr>
          <w:rFonts w:hint="default"/>
          <w:lang w:val="en-US" w:eastAsia="zh-CN"/>
        </w:rPr>
      </w:pPr>
      <w:bookmarkStart w:id="54" w:name="_Toc8900"/>
      <w:bookmarkStart w:id="55" w:name="_Toc25901"/>
      <w:r>
        <w:rPr>
          <w:rFonts w:hint="default"/>
          <w:lang w:val="en-US" w:eastAsia="zh-CN"/>
        </w:rPr>
        <w:t>核心财务数据</w:t>
      </w:r>
      <w:bookmarkEnd w:id="54"/>
      <w:bookmarkEnd w:id="55"/>
    </w:p>
    <w:tbl>
      <w:tblPr>
        <w:tblStyle w:val="14"/>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331"/>
        <w:gridCol w:w="1095"/>
        <w:gridCol w:w="1200"/>
        <w:gridCol w:w="1680"/>
        <w:gridCol w:w="1680"/>
        <w:gridCol w:w="1680"/>
      </w:tblGrid>
      <w:tr w14:paraId="70FC298F">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01FDDE7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jc w:val="both"/>
              <w:textAlignment w:val="auto"/>
              <w:rPr>
                <w:rFonts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项目</w:t>
            </w:r>
          </w:p>
        </w:tc>
        <w:tc>
          <w:tcPr>
            <w:tcW w:w="0" w:type="auto"/>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349938B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jc w:val="both"/>
              <w:textAlignment w:val="auto"/>
              <w:rPr>
                <w:rFonts w:hint="default" w:ascii="宋体" w:hAnsi="宋体" w:eastAsia="宋体" w:cs="宋体"/>
                <w:b w:val="0"/>
                <w:bCs w:val="0"/>
                <w:kern w:val="0"/>
                <w:sz w:val="24"/>
                <w:szCs w:val="16"/>
                <w:lang w:val="en-US" w:eastAsia="zh-CN" w:bidi="ar"/>
              </w:rPr>
            </w:pPr>
            <w:r>
              <w:rPr>
                <w:rFonts w:hint="eastAsia" w:ascii="宋体" w:hAnsi="宋体" w:eastAsia="宋体" w:cs="宋体"/>
                <w:b w:val="0"/>
                <w:bCs w:val="0"/>
                <w:kern w:val="0"/>
                <w:sz w:val="24"/>
                <w:szCs w:val="16"/>
                <w:lang w:val="en-US" w:eastAsia="zh-CN" w:bidi="ar"/>
              </w:rPr>
              <w:t>第</w:t>
            </w:r>
            <w:r>
              <w:rPr>
                <w:rFonts w:hint="default" w:ascii="宋体" w:hAnsi="宋体" w:eastAsia="宋体" w:cs="宋体"/>
                <w:b w:val="0"/>
                <w:bCs w:val="0"/>
                <w:kern w:val="0"/>
                <w:sz w:val="24"/>
                <w:szCs w:val="16"/>
                <w:lang w:val="en-US" w:eastAsia="zh-CN" w:bidi="ar"/>
              </w:rPr>
              <w:t>1 年</w:t>
            </w:r>
          </w:p>
        </w:tc>
        <w:tc>
          <w:tcPr>
            <w:tcW w:w="0" w:type="auto"/>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06278E9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jc w:val="both"/>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第 2 年</w:t>
            </w:r>
          </w:p>
        </w:tc>
        <w:tc>
          <w:tcPr>
            <w:tcW w:w="0" w:type="auto"/>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1C975D7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第 3 年</w:t>
            </w:r>
          </w:p>
        </w:tc>
        <w:tc>
          <w:tcPr>
            <w:tcW w:w="0" w:type="auto"/>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0D97BB0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第 4 年</w:t>
            </w:r>
          </w:p>
        </w:tc>
        <w:tc>
          <w:tcPr>
            <w:tcW w:w="0" w:type="auto"/>
            <w:tcBorders>
              <w:top w:val="nil"/>
              <w:left w:val="nil"/>
              <w:bottom w:val="nil"/>
              <w:right w:val="nil"/>
            </w:tcBorders>
            <w:shd w:val="clear" w:color="auto" w:fill="F2F2F2"/>
            <w:tcMar>
              <w:top w:w="120" w:type="dxa"/>
              <w:left w:w="180" w:type="dxa"/>
              <w:bottom w:w="120" w:type="dxa"/>
              <w:right w:w="180" w:type="dxa"/>
            </w:tcMar>
            <w:vAlign w:val="center"/>
          </w:tcPr>
          <w:p w14:paraId="7E21C91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第 5 年</w:t>
            </w:r>
          </w:p>
        </w:tc>
      </w:tr>
      <w:tr w14:paraId="51E226E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7B249B5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jc w:val="both"/>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营业收入（万元）</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5AEAEDA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jc w:val="both"/>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995</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409683C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jc w:val="both"/>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995</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0A14660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3582</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11AB160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5970</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30F6794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19900</w:t>
            </w:r>
          </w:p>
        </w:tc>
      </w:tr>
      <w:tr w14:paraId="6D8C847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73703EC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jc w:val="both"/>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净利润（万元）</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50AB2E4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jc w:val="both"/>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129.35</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4392F72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jc w:val="both"/>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159.2</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0D4E08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430</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6389355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895.5</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33E4CF7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4776</w:t>
            </w:r>
          </w:p>
        </w:tc>
      </w:tr>
      <w:tr w14:paraId="670BE1E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1CE13FA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jc w:val="both"/>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期末现金余额（万元）</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700075E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jc w:val="both"/>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865.65</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719524F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firstLine="0" w:firstLineChars="0"/>
              <w:jc w:val="both"/>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1024.85</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15F687C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1454.85</w:t>
            </w:r>
          </w:p>
        </w:tc>
        <w:tc>
          <w:tcPr>
            <w:tcW w:w="0" w:type="auto"/>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1FAFE87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2350.35</w:t>
            </w:r>
          </w:p>
        </w:tc>
        <w:tc>
          <w:tcPr>
            <w:tcW w:w="0" w:type="auto"/>
            <w:tcBorders>
              <w:top w:val="nil"/>
              <w:left w:val="nil"/>
              <w:bottom w:val="nil"/>
              <w:right w:val="nil"/>
            </w:tcBorders>
            <w:shd w:val="clear" w:color="auto" w:fill="FFFFFF"/>
            <w:tcMar>
              <w:top w:w="120" w:type="dxa"/>
              <w:left w:w="180" w:type="dxa"/>
              <w:bottom w:w="120" w:type="dxa"/>
              <w:right w:w="180" w:type="dxa"/>
            </w:tcMar>
            <w:vAlign w:val="center"/>
          </w:tcPr>
          <w:p w14:paraId="2990CDE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default" w:ascii="宋体" w:hAnsi="宋体" w:eastAsia="宋体" w:cs="宋体"/>
                <w:b w:val="0"/>
                <w:bCs w:val="0"/>
                <w:kern w:val="0"/>
                <w:sz w:val="24"/>
                <w:szCs w:val="16"/>
                <w:lang w:val="en-US" w:eastAsia="zh-CN" w:bidi="ar"/>
              </w:rPr>
            </w:pPr>
            <w:r>
              <w:rPr>
                <w:rFonts w:hint="default" w:ascii="宋体" w:hAnsi="宋体" w:eastAsia="宋体" w:cs="宋体"/>
                <w:b w:val="0"/>
                <w:bCs w:val="0"/>
                <w:kern w:val="0"/>
                <w:sz w:val="24"/>
                <w:szCs w:val="16"/>
                <w:lang w:val="en-US" w:eastAsia="zh-CN" w:bidi="ar"/>
              </w:rPr>
              <w:t>7126.35</w:t>
            </w:r>
          </w:p>
        </w:tc>
      </w:tr>
    </w:tbl>
    <w:p w14:paraId="6CF1F5B7">
      <w:pPr>
        <w:numPr>
          <w:ilvl w:val="0"/>
          <w:numId w:val="0"/>
        </w:numPr>
        <w:tabs>
          <w:tab w:val="left" w:pos="0"/>
        </w:tabs>
        <w:bidi w:val="0"/>
        <w:ind w:leftChars="0"/>
        <w:jc w:val="center"/>
        <w:rPr>
          <w:rFonts w:hint="default"/>
          <w:lang w:val="en-US" w:eastAsia="zh-CN"/>
        </w:rPr>
      </w:pPr>
      <w:bookmarkStart w:id="56" w:name="_Toc20532"/>
      <w:r>
        <w:rPr>
          <w:rFonts w:hint="eastAsia" w:ascii="宋体" w:hAnsi="宋体" w:eastAsia="宋体" w:cs="宋体"/>
          <w:b w:val="0"/>
          <w:bCs w:val="0"/>
          <w:kern w:val="0"/>
          <w:sz w:val="24"/>
          <w:szCs w:val="16"/>
          <w:lang w:val="en-US" w:eastAsia="zh-CN" w:bidi="ar"/>
        </w:rPr>
        <w:t xml:space="preserve">表7.1 </w:t>
      </w:r>
      <w:r>
        <w:rPr>
          <w:rFonts w:hint="default" w:ascii="Segoe UI" w:hAnsi="Segoe UI" w:eastAsia="宋体" w:cs="Segoe UI"/>
          <w:b w:val="0"/>
          <w:bCs w:val="0"/>
          <w:i w:val="0"/>
          <w:iCs w:val="0"/>
          <w:caps w:val="0"/>
          <w:color w:val="000000"/>
          <w:spacing w:val="0"/>
          <w:kern w:val="0"/>
          <w:sz w:val="24"/>
          <w:szCs w:val="16"/>
          <w:shd w:val="clear" w:fill="FFFFFF"/>
          <w:lang w:val="en-US" w:eastAsia="zh-CN" w:bidi="ar"/>
        </w:rPr>
        <w:t>核心</w:t>
      </w:r>
      <w:r>
        <w:rPr>
          <w:rFonts w:hint="eastAsia" w:ascii="Segoe UI" w:hAnsi="Segoe UI" w:eastAsia="宋体" w:cs="Segoe UI"/>
          <w:b w:val="0"/>
          <w:bCs w:val="0"/>
          <w:i w:val="0"/>
          <w:iCs w:val="0"/>
          <w:caps w:val="0"/>
          <w:color w:val="000000"/>
          <w:spacing w:val="0"/>
          <w:kern w:val="0"/>
          <w:sz w:val="24"/>
          <w:szCs w:val="16"/>
          <w:shd w:val="clear" w:fill="FFFFFF"/>
          <w:lang w:val="en-US" w:eastAsia="zh-CN" w:bidi="ar"/>
        </w:rPr>
        <w:t>财务数据</w:t>
      </w:r>
      <w:r>
        <w:rPr>
          <w:rFonts w:hint="default" w:ascii="Segoe UI" w:hAnsi="Segoe UI" w:eastAsia="宋体" w:cs="Segoe UI"/>
          <w:b w:val="0"/>
          <w:bCs w:val="0"/>
          <w:i w:val="0"/>
          <w:iCs w:val="0"/>
          <w:caps w:val="0"/>
          <w:color w:val="000000"/>
          <w:spacing w:val="0"/>
          <w:kern w:val="0"/>
          <w:sz w:val="24"/>
          <w:szCs w:val="16"/>
          <w:shd w:val="clear" w:fill="FFFFFF"/>
          <w:lang w:val="en-US" w:eastAsia="zh-CN" w:bidi="ar"/>
        </w:rPr>
        <w:t>（单位：万元）</w:t>
      </w:r>
    </w:p>
    <w:p w14:paraId="32BFB655">
      <w:pPr>
        <w:pStyle w:val="3"/>
        <w:numPr>
          <w:ilvl w:val="0"/>
          <w:numId w:val="35"/>
        </w:numPr>
        <w:bidi w:val="0"/>
        <w:ind w:left="0" w:leftChars="0" w:firstLine="0" w:firstLineChars="0"/>
        <w:rPr>
          <w:rFonts w:hint="default"/>
          <w:lang w:val="en-US" w:eastAsia="zh-CN"/>
        </w:rPr>
      </w:pPr>
      <w:bookmarkStart w:id="57" w:name="_Toc5305"/>
      <w:r>
        <w:rPr>
          <w:rFonts w:hint="default"/>
          <w:lang w:val="en-US" w:eastAsia="zh-CN"/>
        </w:rPr>
        <w:t>盈利能力与风险应对</w:t>
      </w:r>
      <w:bookmarkEnd w:id="56"/>
      <w:bookmarkEnd w:id="57"/>
    </w:p>
    <w:p w14:paraId="59F2A236">
      <w:pPr>
        <w:keepNext w:val="0"/>
        <w:keepLines w:val="0"/>
        <w:widowControl/>
        <w:suppressLineNumbers w:val="0"/>
        <w:jc w:val="left"/>
      </w:pPr>
      <w:r>
        <w:rPr>
          <w:rFonts w:ascii="宋体" w:hAnsi="宋体" w:eastAsia="宋体" w:cs="宋体"/>
          <w:kern w:val="0"/>
          <w:sz w:val="24"/>
          <w:szCs w:val="24"/>
          <w:lang w:val="en-US" w:eastAsia="zh-CN" w:bidi="ar"/>
        </w:rPr>
        <w:t>结合前文财务假设，针对项目长期盈利稳定性及运营潜在风险两大核心问题，本章重点分析盈利能力水平并制定针对性应对策略，为项目可持续运营提供支撑。盈利能力方面，依托核心硬件国产化带来的成本优势及分层定价策略的精准落地，项目全周期毛利率可稳定维持在55%-60%区间，无需担忧因成本波动或定价调整导致盈利空间压缩。随着项目进入成长期、成熟期，规模效应持续释放，期间费用占比逐年下降，净利率将实现稳步攀升，从初创期的13%逐步提升至成熟期的24%，经测算，项目5年累计投资回报率（ROI）可达380%，盈利水平与抗风险能力随项目推进持续增强，充分验证了项目的盈利可行性与市场潜力。</w:t>
      </w:r>
    </w:p>
    <w:p w14:paraId="2F346490">
      <w:pPr>
        <w:keepNext w:val="0"/>
        <w:keepLines w:val="0"/>
        <w:widowControl/>
        <w:suppressLineNumbers w:val="0"/>
        <w:jc w:val="left"/>
      </w:pPr>
      <w:r>
        <w:rPr>
          <w:rFonts w:ascii="宋体" w:hAnsi="宋体" w:eastAsia="宋体" w:cs="宋体"/>
          <w:kern w:val="0"/>
          <w:sz w:val="24"/>
          <w:szCs w:val="24"/>
          <w:lang w:val="en-US" w:eastAsia="zh-CN" w:bidi="ar"/>
        </w:rPr>
        <w:t>盈利稳定性需依托完善的风险应对体系保障，针对项目运营各阶段可能出现的三类核心风险，均制定了可落地的防控措施。针对初创期易出现的现金流紧张风险，优化销售回款周期，明确回款节点并配套激励政策，同时与核心供应商签订合理账期协议，缓解资金周转压力；针对成本波动风险，通过长期合作锁定核心部件采购价格，规避原材料价格波动影响，同时借助销量规模化进一步摊薄生产成本，巩固成本优势；针对市场竞争加剧带来的风险，持续加大研发投入，聚焦核心技术迭代与服务升级，不断强化“AI视觉+SLAM导航”的技术壁垒及全生命周期服务优势，维持市场竞争力，保障盈利目标稳步实现。</w:t>
      </w:r>
    </w:p>
    <w:p w14:paraId="07A9700E">
      <w:pPr>
        <w:pStyle w:val="2"/>
        <w:bidi w:val="0"/>
        <w:rPr>
          <w:rFonts w:hint="default"/>
          <w:lang w:val="en-US" w:eastAsia="zh-CN"/>
        </w:rPr>
      </w:pPr>
      <w:bookmarkStart w:id="58" w:name="_Toc15072"/>
      <w:bookmarkStart w:id="59" w:name="_Toc12524"/>
      <w:r>
        <w:rPr>
          <w:rFonts w:hint="default"/>
          <w:lang w:val="en-US" w:eastAsia="zh-CN"/>
        </w:rPr>
        <w:t>风险防范</w:t>
      </w:r>
      <w:bookmarkEnd w:id="58"/>
      <w:bookmarkEnd w:id="59"/>
    </w:p>
    <w:p w14:paraId="46C4B83E">
      <w:pPr>
        <w:pStyle w:val="3"/>
        <w:numPr>
          <w:ilvl w:val="0"/>
          <w:numId w:val="36"/>
        </w:numPr>
        <w:bidi w:val="0"/>
        <w:ind w:left="0" w:leftChars="0" w:firstLine="0" w:firstLineChars="0"/>
        <w:rPr>
          <w:rFonts w:hint="default"/>
          <w:lang w:val="en-US" w:eastAsia="zh-CN"/>
        </w:rPr>
      </w:pPr>
      <w:bookmarkStart w:id="60" w:name="_Toc3545"/>
      <w:bookmarkStart w:id="61" w:name="_Toc31037"/>
      <w:r>
        <w:rPr>
          <w:rFonts w:hint="default"/>
          <w:lang w:val="en-US" w:eastAsia="zh-CN"/>
        </w:rPr>
        <w:t>技术风险</w:t>
      </w:r>
      <w:bookmarkEnd w:id="60"/>
      <w:bookmarkEnd w:id="61"/>
    </w:p>
    <w:p w14:paraId="253BE046">
      <w:pPr>
        <w:pStyle w:val="4"/>
        <w:numPr>
          <w:ilvl w:val="0"/>
          <w:numId w:val="37"/>
        </w:numPr>
        <w:bidi w:val="0"/>
        <w:ind w:left="0" w:leftChars="0" w:firstLine="0" w:firstLineChars="0"/>
        <w:rPr>
          <w:rFonts w:hint="eastAsia"/>
          <w:lang w:val="en-US" w:eastAsia="zh-CN"/>
        </w:rPr>
      </w:pPr>
      <w:r>
        <w:rPr>
          <w:rFonts w:hint="eastAsia"/>
          <w:lang w:val="en-US" w:eastAsia="zh-CN"/>
        </w:rPr>
        <w:t>风险描述</w:t>
      </w:r>
    </w:p>
    <w:p w14:paraId="171D0E4D">
      <w:pPr>
        <w:keepNext w:val="0"/>
        <w:keepLines w:val="0"/>
        <w:widowControl/>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AI视觉与SLAM导航融合技术迭代不及预期，核心算法被抄袭，设备在复杂环境下性能不稳定。</w:t>
      </w:r>
    </w:p>
    <w:p w14:paraId="00B33173">
      <w:pPr>
        <w:pStyle w:val="4"/>
        <w:numPr>
          <w:ilvl w:val="0"/>
          <w:numId w:val="37"/>
        </w:numPr>
        <w:bidi w:val="0"/>
        <w:ind w:left="0" w:leftChars="0" w:firstLine="0" w:firstLineChars="0"/>
        <w:rPr>
          <w:rFonts w:hint="default"/>
          <w:lang w:val="en-US" w:eastAsia="zh-CN"/>
        </w:rPr>
      </w:pPr>
      <w:r>
        <w:rPr>
          <w:rFonts w:hint="default"/>
          <w:lang w:val="en-US" w:eastAsia="zh-CN"/>
        </w:rPr>
        <w:t>防范措施</w:t>
      </w:r>
    </w:p>
    <w:p w14:paraId="70D1BDD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加大研发投入，组建专业研发团队，与高校、科研机构共建研发平台，保持技术领先性。加强知识产权保护，核心技术及时申请专利与软件著作权，构建全方位知识产权壁垒。建立完善的产品测试体系，上市前经过多轮复杂环境测试，确保产品稳定性与可靠性。</w:t>
      </w:r>
    </w:p>
    <w:p w14:paraId="305A0435">
      <w:pPr>
        <w:pStyle w:val="3"/>
        <w:numPr>
          <w:ilvl w:val="0"/>
          <w:numId w:val="36"/>
        </w:numPr>
        <w:bidi w:val="0"/>
        <w:ind w:left="0" w:leftChars="0" w:firstLine="0" w:firstLineChars="0"/>
        <w:rPr>
          <w:rFonts w:hint="default"/>
          <w:lang w:val="en-US" w:eastAsia="zh-CN"/>
        </w:rPr>
      </w:pPr>
      <w:bookmarkStart w:id="62" w:name="_Toc32288"/>
      <w:bookmarkStart w:id="63" w:name="_Toc2881"/>
      <w:r>
        <w:rPr>
          <w:rFonts w:hint="default"/>
          <w:lang w:val="en-US" w:eastAsia="zh-CN"/>
        </w:rPr>
        <w:t>市场风险</w:t>
      </w:r>
      <w:bookmarkEnd w:id="62"/>
      <w:bookmarkEnd w:id="63"/>
    </w:p>
    <w:p w14:paraId="0D11C2CA">
      <w:pPr>
        <w:pStyle w:val="4"/>
        <w:numPr>
          <w:ilvl w:val="0"/>
          <w:numId w:val="38"/>
        </w:numPr>
        <w:bidi w:val="0"/>
        <w:ind w:left="0" w:leftChars="0" w:firstLine="0" w:firstLineChars="0"/>
        <w:rPr>
          <w:rFonts w:hint="eastAsia"/>
          <w:lang w:val="en-US" w:eastAsia="zh-CN"/>
        </w:rPr>
      </w:pPr>
      <w:r>
        <w:rPr>
          <w:rFonts w:hint="eastAsia"/>
          <w:lang w:val="en-US" w:eastAsia="zh-CN"/>
        </w:rPr>
        <w:t>风险描述</w:t>
      </w:r>
    </w:p>
    <w:p w14:paraId="5D40421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市场需求增长不及预期，竞争对手推出同类产品引发价格战，客户对新产品接受度低。</w:t>
      </w:r>
    </w:p>
    <w:p w14:paraId="6D24D25D">
      <w:pPr>
        <w:pStyle w:val="4"/>
        <w:numPr>
          <w:ilvl w:val="0"/>
          <w:numId w:val="38"/>
        </w:numPr>
        <w:bidi w:val="0"/>
        <w:ind w:left="0" w:leftChars="0" w:firstLine="0" w:firstLineChars="0"/>
        <w:rPr>
          <w:rFonts w:hint="default"/>
          <w:lang w:val="en-US" w:eastAsia="zh-CN"/>
        </w:rPr>
      </w:pPr>
      <w:r>
        <w:rPr>
          <w:rFonts w:hint="default"/>
          <w:lang w:val="en-US" w:eastAsia="zh-CN"/>
        </w:rPr>
        <w:t>防范措施</w:t>
      </w:r>
    </w:p>
    <w:p w14:paraId="6B48F74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加强市场调研与推广，通过行业展会、线下体验、案例分享等方式，提升产品知名度与客户认可度。持续强化产品差异化优势，通过技术创新与服务升级，避免陷入价格战，保持产品溢价能力。推出试用政策，让客户先体验后采购，降低客户决策门槛。</w:t>
      </w:r>
    </w:p>
    <w:p w14:paraId="1E8E8233">
      <w:pPr>
        <w:pStyle w:val="3"/>
        <w:numPr>
          <w:ilvl w:val="0"/>
          <w:numId w:val="36"/>
        </w:numPr>
        <w:bidi w:val="0"/>
        <w:ind w:left="0" w:leftChars="0" w:firstLine="0" w:firstLineChars="0"/>
        <w:rPr>
          <w:rFonts w:hint="default"/>
          <w:lang w:val="en-US" w:eastAsia="zh-CN"/>
        </w:rPr>
      </w:pPr>
      <w:bookmarkStart w:id="64" w:name="_Toc25132"/>
      <w:bookmarkStart w:id="65" w:name="_Toc30775"/>
      <w:r>
        <w:rPr>
          <w:rFonts w:hint="default"/>
          <w:lang w:val="en-US" w:eastAsia="zh-CN"/>
        </w:rPr>
        <w:t>供应链风险</w:t>
      </w:r>
      <w:bookmarkEnd w:id="64"/>
      <w:bookmarkEnd w:id="65"/>
    </w:p>
    <w:p w14:paraId="1AD58FF0">
      <w:pPr>
        <w:pStyle w:val="4"/>
        <w:numPr>
          <w:ilvl w:val="0"/>
          <w:numId w:val="39"/>
        </w:numPr>
        <w:bidi w:val="0"/>
        <w:ind w:left="0" w:leftChars="0" w:firstLine="0" w:firstLineChars="0"/>
        <w:rPr>
          <w:rFonts w:hint="eastAsia"/>
          <w:lang w:val="en-US" w:eastAsia="zh-CN"/>
        </w:rPr>
      </w:pPr>
      <w:r>
        <w:rPr>
          <w:rFonts w:hint="eastAsia"/>
          <w:lang w:val="en-US" w:eastAsia="zh-CN"/>
        </w:rPr>
        <w:t>风险描述</w:t>
      </w:r>
    </w:p>
    <w:p w14:paraId="0F6F8F4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 核心零部件供应商产能不足或提价，环保材料供应不稳定，供应链断裂影响生产交付。</w:t>
      </w:r>
    </w:p>
    <w:p w14:paraId="71584E68">
      <w:pPr>
        <w:pStyle w:val="4"/>
        <w:numPr>
          <w:ilvl w:val="0"/>
          <w:numId w:val="39"/>
        </w:numPr>
        <w:bidi w:val="0"/>
        <w:ind w:left="0" w:leftChars="0" w:firstLine="0" w:firstLineChars="0"/>
        <w:rPr>
          <w:rFonts w:hint="default"/>
          <w:lang w:val="en-US" w:eastAsia="zh-CN"/>
        </w:rPr>
      </w:pPr>
      <w:r>
        <w:rPr>
          <w:rFonts w:hint="default"/>
          <w:lang w:val="en-US" w:eastAsia="zh-CN"/>
        </w:rPr>
        <w:t>防范措施</w:t>
      </w:r>
    </w:p>
    <w:p w14:paraId="7FD4843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建立多元化供</w:t>
      </w:r>
      <w:r>
        <w:rPr>
          <w:rFonts w:hint="default" w:ascii="宋体" w:hAnsi="宋体" w:eastAsia="宋体" w:cs="宋体"/>
          <w:kern w:val="0"/>
          <w:sz w:val="24"/>
          <w:szCs w:val="24"/>
          <w:lang w:val="en-US" w:eastAsia="zh-CN" w:bidi="ar"/>
        </w:rPr>
        <w:t>应链体系，与2-3家核心供应商签订长期合作协议，锁定价格与产能，同时储备备选供应商。加强供应链管理，定期评估供应商产能、质量与绿色属性，确保供应链稳定。与核心供应商共建绿色供应链</w:t>
      </w:r>
      <w:r>
        <w:rPr>
          <w:rFonts w:hint="default"/>
          <w:sz w:val="24"/>
          <w:szCs w:val="24"/>
          <w:lang w:val="en-US" w:eastAsia="zh-CN"/>
        </w:rPr>
        <w:t>，共同优化生产流程，降低成本。</w:t>
      </w:r>
    </w:p>
    <w:p w14:paraId="17DC1B4A">
      <w:pPr>
        <w:pStyle w:val="3"/>
        <w:numPr>
          <w:ilvl w:val="0"/>
          <w:numId w:val="36"/>
        </w:numPr>
        <w:bidi w:val="0"/>
        <w:ind w:left="0" w:leftChars="0" w:firstLine="0" w:firstLineChars="0"/>
        <w:rPr>
          <w:rFonts w:hint="default"/>
          <w:lang w:val="en-US" w:eastAsia="zh-CN"/>
        </w:rPr>
      </w:pPr>
      <w:bookmarkStart w:id="66" w:name="_Toc3317"/>
      <w:bookmarkStart w:id="67" w:name="_Toc21921"/>
      <w:r>
        <w:rPr>
          <w:rFonts w:hint="default"/>
          <w:lang w:val="en-US" w:eastAsia="zh-CN"/>
        </w:rPr>
        <w:t>运营风险</w:t>
      </w:r>
      <w:bookmarkEnd w:id="66"/>
      <w:bookmarkEnd w:id="67"/>
    </w:p>
    <w:p w14:paraId="7015A79D">
      <w:pPr>
        <w:pStyle w:val="4"/>
        <w:numPr>
          <w:ilvl w:val="0"/>
          <w:numId w:val="40"/>
        </w:numPr>
        <w:bidi w:val="0"/>
        <w:ind w:left="0" w:leftChars="0" w:firstLine="0" w:firstLineChars="0"/>
        <w:rPr>
          <w:rFonts w:hint="eastAsia"/>
          <w:lang w:val="en-US" w:eastAsia="zh-CN"/>
        </w:rPr>
      </w:pPr>
      <w:r>
        <w:rPr>
          <w:rFonts w:hint="eastAsia"/>
          <w:lang w:val="en-US" w:eastAsia="zh-CN"/>
        </w:rPr>
        <w:t>风险描述</w:t>
      </w:r>
    </w:p>
    <w:p w14:paraId="172DEA9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产品量产过程中出现质量问题，售后服务响应不及时，客户投诉率高，影响品牌声誉。</w:t>
      </w:r>
    </w:p>
    <w:p w14:paraId="02A6BD84">
      <w:pPr>
        <w:pStyle w:val="4"/>
        <w:numPr>
          <w:ilvl w:val="0"/>
          <w:numId w:val="40"/>
        </w:numPr>
        <w:bidi w:val="0"/>
        <w:ind w:left="0" w:leftChars="0" w:firstLine="0" w:firstLineChars="0"/>
        <w:rPr>
          <w:rFonts w:hint="default"/>
          <w:lang w:val="en-US" w:eastAsia="zh-CN"/>
        </w:rPr>
      </w:pPr>
      <w:r>
        <w:rPr>
          <w:rFonts w:hint="default"/>
          <w:lang w:val="en-US" w:eastAsia="zh-CN"/>
        </w:rPr>
        <w:t>防范措施</w:t>
      </w:r>
    </w:p>
    <w:p w14:paraId="0EA8518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eastAsia="宋体" w:cs="宋体"/>
          <w:kern w:val="0"/>
          <w:sz w:val="24"/>
          <w:szCs w:val="24"/>
          <w:lang w:val="en-US" w:eastAsia="zh-CN" w:bidi="ar"/>
        </w:rPr>
      </w:pPr>
      <w:r>
        <w:rPr>
          <w:rFonts w:hint="default"/>
          <w:sz w:val="24"/>
          <w:szCs w:val="24"/>
          <w:lang w:val="en-US" w:eastAsia="zh-CN"/>
        </w:rPr>
        <w:t>建立严格的质量控制体系，从原材料采购、生产加工到成品检验，全程把控产品质量。完善售后服务网络，在核心区域设立服务网点，加强售后团队培训，提升服务响</w:t>
      </w:r>
      <w:r>
        <w:rPr>
          <w:rFonts w:hint="default" w:ascii="宋体" w:hAnsi="宋体" w:eastAsia="宋体" w:cs="宋体"/>
          <w:kern w:val="0"/>
          <w:sz w:val="24"/>
          <w:szCs w:val="24"/>
          <w:lang w:val="en-US" w:eastAsia="zh-CN" w:bidi="ar"/>
        </w:rPr>
        <w:t>应速度与专业水平。建立客户反馈机制，及时解决客户问题，将客户投诉率控制在1%以下。</w:t>
      </w:r>
    </w:p>
    <w:p w14:paraId="776BC7EC">
      <w:pPr>
        <w:pStyle w:val="3"/>
        <w:numPr>
          <w:ilvl w:val="0"/>
          <w:numId w:val="36"/>
        </w:numPr>
        <w:bidi w:val="0"/>
        <w:ind w:left="0" w:leftChars="0" w:firstLine="0" w:firstLineChars="0"/>
        <w:rPr>
          <w:rFonts w:hint="default"/>
          <w:lang w:val="en-US" w:eastAsia="zh-CN"/>
        </w:rPr>
      </w:pPr>
      <w:bookmarkStart w:id="68" w:name="_Toc26415"/>
      <w:bookmarkStart w:id="69" w:name="_Toc26761"/>
      <w:r>
        <w:rPr>
          <w:rFonts w:hint="default"/>
          <w:lang w:val="en-US" w:eastAsia="zh-CN"/>
        </w:rPr>
        <w:t>政策与合规风险</w:t>
      </w:r>
      <w:bookmarkEnd w:id="68"/>
      <w:bookmarkEnd w:id="69"/>
    </w:p>
    <w:p w14:paraId="09FF00F5">
      <w:pPr>
        <w:pStyle w:val="4"/>
        <w:numPr>
          <w:ilvl w:val="0"/>
          <w:numId w:val="41"/>
        </w:numPr>
        <w:bidi w:val="0"/>
        <w:ind w:left="0" w:leftChars="0" w:firstLine="0" w:firstLineChars="0"/>
        <w:rPr>
          <w:rFonts w:hint="eastAsia"/>
          <w:lang w:val="en-US" w:eastAsia="zh-CN"/>
        </w:rPr>
      </w:pPr>
      <w:r>
        <w:rPr>
          <w:rFonts w:hint="eastAsia"/>
          <w:lang w:val="en-US" w:eastAsia="zh-CN"/>
        </w:rPr>
        <w:t>风险描述</w:t>
      </w:r>
    </w:p>
    <w:p w14:paraId="7B59908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环保法规、碳排放标准升级，产品不符合新的合规要求；数据安全、隐私保护相关政策变化影响云端服务。</w:t>
      </w:r>
    </w:p>
    <w:p w14:paraId="772DCA84">
      <w:pPr>
        <w:pStyle w:val="4"/>
        <w:numPr>
          <w:ilvl w:val="0"/>
          <w:numId w:val="41"/>
        </w:numPr>
        <w:bidi w:val="0"/>
        <w:ind w:left="0" w:leftChars="0" w:firstLine="0" w:firstLineChars="0"/>
        <w:rPr>
          <w:rFonts w:hint="default"/>
          <w:lang w:val="en-US" w:eastAsia="zh-CN"/>
        </w:rPr>
      </w:pPr>
      <w:r>
        <w:rPr>
          <w:rFonts w:hint="default"/>
          <w:lang w:val="en-US" w:eastAsia="zh-CN"/>
        </w:rPr>
        <w:t>防范措施</w:t>
      </w:r>
    </w:p>
    <w:p w14:paraId="59EF6EE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密切关注环保、碳减排相关政策法规动态，提前布局技术升级，确保产品持续符合合规要求，积极参与绿色产品认证。严格遵守数据安全与隐私保护相关法律法规，建立完善的数据加密、存储、传输机制，获取客户授权后使用数据，保障客户隐私安全。</w:t>
      </w:r>
    </w:p>
    <w:p w14:paraId="07632B84">
      <w:pPr>
        <w:pStyle w:val="2"/>
        <w:bidi w:val="0"/>
        <w:rPr>
          <w:rFonts w:hint="default"/>
          <w:lang w:val="en-US" w:eastAsia="zh-CN"/>
        </w:rPr>
      </w:pPr>
      <w:bookmarkStart w:id="70" w:name="_Toc19759"/>
      <w:bookmarkStart w:id="71" w:name="_Toc17356"/>
      <w:r>
        <w:rPr>
          <w:rFonts w:hint="default"/>
          <w:lang w:val="en-US" w:eastAsia="zh-CN"/>
        </w:rPr>
        <w:t>资本退出</w:t>
      </w:r>
      <w:bookmarkEnd w:id="70"/>
      <w:bookmarkEnd w:id="71"/>
    </w:p>
    <w:p w14:paraId="6BB5EFBF">
      <w:pPr>
        <w:pStyle w:val="3"/>
        <w:numPr>
          <w:ilvl w:val="0"/>
          <w:numId w:val="42"/>
        </w:numPr>
        <w:bidi w:val="0"/>
        <w:ind w:left="0" w:leftChars="0" w:firstLine="0" w:firstLineChars="0"/>
        <w:rPr>
          <w:rFonts w:hint="default"/>
          <w:lang w:val="en-US" w:eastAsia="zh-CN"/>
        </w:rPr>
      </w:pPr>
      <w:bookmarkStart w:id="72" w:name="_Toc28632"/>
      <w:bookmarkStart w:id="73" w:name="_Toc30144"/>
      <w:r>
        <w:rPr>
          <w:rFonts w:hint="default"/>
          <w:lang w:val="en-US" w:eastAsia="zh-CN"/>
        </w:rPr>
        <w:t>退出原则</w:t>
      </w:r>
      <w:bookmarkEnd w:id="72"/>
      <w:bookmarkEnd w:id="73"/>
    </w:p>
    <w:p w14:paraId="64D57C30">
      <w:pPr>
        <w:keepNext w:val="0"/>
        <w:keepLines w:val="0"/>
        <w:widowControl/>
        <w:suppressLineNumbers w:val="0"/>
        <w:jc w:val="left"/>
        <w:rPr>
          <w:rFonts w:hint="default"/>
          <w:sz w:val="24"/>
          <w:szCs w:val="24"/>
          <w:lang w:val="en-US" w:eastAsia="zh-CN"/>
        </w:rPr>
      </w:pPr>
      <w:r>
        <w:rPr>
          <w:rFonts w:ascii="宋体" w:hAnsi="宋体" w:eastAsia="宋体" w:cs="宋体"/>
          <w:kern w:val="0"/>
          <w:sz w:val="24"/>
          <w:szCs w:val="24"/>
          <w:lang w:val="en-US" w:eastAsia="zh-CN" w:bidi="ar"/>
        </w:rPr>
        <w:t>资本退出的核心诉求的是实现投资价值兑现，而如何在兑现价值的同时兼顾多方权益、规避合规风险，成为制定退出原则的核心出发点。基于此，本项目资本退出明确核心导向，以保障投资者利益最大化为首要原则，通过科学规划退出时机、选择合理退出方式，确保投资者投入的资本能够获得稳定且可观的回报。投资者利益的实现离不开公司的持续运营支撑，因此退出原则同时兼顾公司长远发展与员工合法权益，杜绝因短期退出行为损害公司核心竞争力、影响员工就业及福利保障。所有退出流程均严格遵循合规合法、公平公正的基本准则，全程符合资本市场监管要求与相关法律法规规定，确保退出过程透明可追溯，兼顾各方权益的同时，实现资本有序退出。</w:t>
      </w:r>
    </w:p>
    <w:p w14:paraId="2D4D40EB">
      <w:pPr>
        <w:pStyle w:val="3"/>
        <w:numPr>
          <w:ilvl w:val="0"/>
          <w:numId w:val="42"/>
        </w:numPr>
        <w:bidi w:val="0"/>
        <w:ind w:left="0" w:leftChars="0" w:firstLine="0" w:firstLineChars="0"/>
        <w:rPr>
          <w:rFonts w:hint="default"/>
          <w:lang w:val="en-US" w:eastAsia="zh-CN"/>
        </w:rPr>
      </w:pPr>
      <w:bookmarkStart w:id="74" w:name="_Toc12754"/>
      <w:bookmarkStart w:id="75" w:name="_Toc21920"/>
      <w:r>
        <w:rPr>
          <w:rFonts w:hint="default"/>
          <w:lang w:val="en-US" w:eastAsia="zh-CN"/>
        </w:rPr>
        <w:t>退出方式</w:t>
      </w:r>
      <w:bookmarkEnd w:id="74"/>
      <w:bookmarkEnd w:id="75"/>
    </w:p>
    <w:p w14:paraId="5D17E7D8">
      <w:pPr>
        <w:keepNext w:val="0"/>
        <w:keepLines w:val="0"/>
        <w:widowControl/>
        <w:suppressLineNumbers w:val="0"/>
        <w:jc w:val="left"/>
        <w:rPr>
          <w:rFonts w:hint="default"/>
          <w:lang w:val="en-US" w:eastAsia="zh-CN"/>
        </w:rPr>
      </w:pPr>
      <w:r>
        <w:rPr>
          <w:rFonts w:ascii="宋体" w:hAnsi="宋体" w:eastAsia="宋体" w:cs="宋体"/>
          <w:kern w:val="0"/>
          <w:sz w:val="24"/>
          <w:szCs w:val="24"/>
          <w:lang w:val="en-US" w:eastAsia="zh-CN" w:bidi="ar"/>
        </w:rPr>
        <w:t>结合项目生命周期及资本市场环境，为保障投资者权益、实现资本有序退出，本项目制定“首选-备选-兜底”三层退出策略，各方式明确适配节点与收益预期，形成完善的退出体系。</w:t>
      </w:r>
    </w:p>
    <w:p w14:paraId="4FBE967E">
      <w:pPr>
        <w:pStyle w:val="4"/>
        <w:numPr>
          <w:ilvl w:val="0"/>
          <w:numId w:val="43"/>
        </w:numPr>
        <w:bidi w:val="0"/>
        <w:ind w:left="0" w:leftChars="0" w:firstLine="0" w:firstLineChars="0"/>
        <w:rPr>
          <w:rFonts w:hint="eastAsia"/>
          <w:lang w:val="en-US" w:eastAsia="zh-CN"/>
        </w:rPr>
      </w:pPr>
      <w:r>
        <w:rPr>
          <w:rFonts w:hint="eastAsia"/>
          <w:lang w:val="en-US" w:eastAsia="zh-CN"/>
        </w:rPr>
        <w:t>IPO退出（首选）</w:t>
      </w:r>
    </w:p>
    <w:p w14:paraId="2499A5F8">
      <w:pPr>
        <w:keepNext w:val="0"/>
        <w:keepLines w:val="0"/>
        <w:widowControl/>
        <w:suppressLineNumbers w:val="0"/>
        <w:jc w:val="left"/>
      </w:pPr>
      <w:r>
        <w:rPr>
          <w:rFonts w:ascii="宋体" w:hAnsi="宋体" w:eastAsia="宋体" w:cs="宋体"/>
          <w:kern w:val="0"/>
          <w:sz w:val="24"/>
          <w:szCs w:val="24"/>
          <w:lang w:val="en-US" w:eastAsia="zh-CN" w:bidi="ar"/>
        </w:rPr>
        <w:t>IPO退出作为首选方式，计划在项目第5年及以后，待满足创业板或科创板IPO申报条件后正式启动，完成上市流程且锁定期满后，通过二级市场减持实现退出，结合行业估值水平，预计投资回报率可达6-12倍。</w:t>
      </w:r>
    </w:p>
    <w:p w14:paraId="7DB8AC18">
      <w:pPr>
        <w:pStyle w:val="4"/>
        <w:numPr>
          <w:ilvl w:val="0"/>
          <w:numId w:val="43"/>
        </w:numPr>
        <w:bidi w:val="0"/>
        <w:ind w:left="0" w:leftChars="0" w:firstLine="0" w:firstLineChars="0"/>
        <w:rPr>
          <w:rFonts w:hint="default"/>
          <w:lang w:val="en-US" w:eastAsia="zh-CN"/>
        </w:rPr>
      </w:pPr>
      <w:r>
        <w:rPr>
          <w:rFonts w:hint="default"/>
          <w:lang w:val="en-US" w:eastAsia="zh-CN"/>
        </w:rPr>
        <w:t>并购退出（备选）</w:t>
      </w:r>
    </w:p>
    <w:p w14:paraId="13CCED15">
      <w:pPr>
        <w:keepNext w:val="0"/>
        <w:keepLines w:val="0"/>
        <w:widowControl/>
        <w:suppressLineNumbers w:val="0"/>
        <w:jc w:val="left"/>
      </w:pPr>
      <w:r>
        <w:rPr>
          <w:rFonts w:ascii="宋体" w:hAnsi="宋体" w:eastAsia="宋体" w:cs="宋体"/>
          <w:kern w:val="0"/>
          <w:sz w:val="24"/>
          <w:szCs w:val="24"/>
          <w:lang w:val="en-US" w:eastAsia="zh-CN" w:bidi="ar"/>
        </w:rPr>
        <w:t>IPO退出若遇市场波动无法顺利推进，则启动备选的并购退出，在第4-5年主动对接行业龙头企业或大型科技公司开展并购洽谈，按净利润18-22倍进行估值，预计回报率维持在4-8倍。</w:t>
      </w:r>
    </w:p>
    <w:p w14:paraId="349FE486">
      <w:pPr>
        <w:pStyle w:val="4"/>
        <w:numPr>
          <w:ilvl w:val="0"/>
          <w:numId w:val="43"/>
        </w:numPr>
        <w:bidi w:val="0"/>
        <w:ind w:left="0" w:leftChars="0" w:firstLine="0" w:firstLineChars="0"/>
        <w:rPr>
          <w:rFonts w:hint="default"/>
          <w:lang w:val="en-US" w:eastAsia="zh-CN"/>
        </w:rPr>
      </w:pPr>
      <w:r>
        <w:rPr>
          <w:rFonts w:hint="default"/>
          <w:lang w:val="en-US" w:eastAsia="zh-CN"/>
        </w:rPr>
        <w:t>股权回购（兜底）</w:t>
      </w:r>
    </w:p>
    <w:p w14:paraId="34D21D99">
      <w:pPr>
        <w:keepNext w:val="0"/>
        <w:keepLines w:val="0"/>
        <w:widowControl/>
        <w:suppressLineNumbers w:val="0"/>
        <w:jc w:val="left"/>
      </w:pPr>
      <w:r>
        <w:rPr>
          <w:rFonts w:ascii="宋体" w:hAnsi="宋体" w:eastAsia="宋体" w:cs="宋体"/>
          <w:kern w:val="0"/>
          <w:sz w:val="24"/>
          <w:szCs w:val="24"/>
          <w:lang w:val="en-US" w:eastAsia="zh-CN" w:bidi="ar"/>
        </w:rPr>
        <w:t>为规避前两种方式的不确定性，设置股权回购作为兜底方案，第3-5年若满足协议约定条件，将按净利润10-15倍估值回购股权，确保年化收益率稳定在18%-25%，保障投资者最低收益。</w:t>
      </w:r>
    </w:p>
    <w:p w14:paraId="0540E243">
      <w:pPr>
        <w:pStyle w:val="3"/>
        <w:numPr>
          <w:ilvl w:val="0"/>
          <w:numId w:val="42"/>
        </w:numPr>
        <w:bidi w:val="0"/>
        <w:ind w:left="0" w:leftChars="0" w:firstLine="0" w:firstLineChars="0"/>
        <w:rPr>
          <w:rFonts w:hint="default"/>
          <w:lang w:val="en-US" w:eastAsia="zh-CN"/>
        </w:rPr>
      </w:pPr>
      <w:bookmarkStart w:id="76" w:name="_Toc13877"/>
      <w:bookmarkStart w:id="77" w:name="_Toc20982"/>
      <w:r>
        <w:rPr>
          <w:rFonts w:hint="default"/>
          <w:lang w:val="en-US" w:eastAsia="zh-CN"/>
        </w:rPr>
        <w:t>退出保障</w:t>
      </w:r>
      <w:bookmarkEnd w:id="76"/>
      <w:bookmarkEnd w:id="77"/>
    </w:p>
    <w:p w14:paraId="6036A595">
      <w:pPr>
        <w:keepNext w:val="0"/>
        <w:keepLines w:val="0"/>
        <w:widowControl/>
        <w:suppressLineNumbers w:val="0"/>
        <w:jc w:val="left"/>
      </w:pPr>
      <w:r>
        <w:rPr>
          <w:rFonts w:ascii="宋体" w:hAnsi="宋体" w:eastAsia="宋体" w:cs="宋体"/>
          <w:kern w:val="0"/>
          <w:sz w:val="24"/>
          <w:szCs w:val="24"/>
          <w:lang w:val="en-US" w:eastAsia="zh-CN" w:bidi="ar"/>
        </w:rPr>
        <w:t>资本退出保障的核心的是打消投资者顾虑、筑牢退出基础，破解退出机制模糊、信息不透明、公司吸引力不足的痛点，构建全流程保障体系。首先完善公司治理结构与信息披露制度，明确各治理主体权责，杜绝内控漏洞，定期向投资者提供真实、准确的财务与运营数据，每季度出具详细财报、半年度披露运营分析，让投资者清晰掌握公司发展态势。</w:t>
      </w:r>
    </w:p>
    <w:p w14:paraId="7C4B7AE8">
      <w:pPr>
        <w:keepNext w:val="0"/>
        <w:keepLines w:val="0"/>
        <w:widowControl/>
        <w:suppressLineNumbers w:val="0"/>
        <w:jc w:val="left"/>
      </w:pPr>
      <w:r>
        <w:rPr>
          <w:rFonts w:ascii="宋体" w:hAnsi="宋体" w:eastAsia="宋体" w:cs="宋体"/>
          <w:kern w:val="0"/>
          <w:sz w:val="24"/>
          <w:szCs w:val="24"/>
          <w:lang w:val="en-US" w:eastAsia="zh-CN" w:bidi="ar"/>
        </w:rPr>
        <w:t>信息透明是前提，明确的退出协议的则是关键，与投资者签订规范协议，细化退出条件、估值方式与支付条款，其中估值方式采用收益法结合市场法，例如投资者在公司盈利连续两年增速≥30%时退出，按近三年平均净利润的15倍估值；若按市场法，参考同行业可比公司市盈率，结合公司技术壁垒溢价10%-15%确定估值。同时持续提升公司价值，通过技术创新、市场拓展、盈利提升，增强资本市场吸引力，搭配完善的投资者关系管理机制，定期沟通互动，为投资者退出创造良好条件，实现双方共赢。</w:t>
      </w:r>
    </w:p>
    <w:p w14:paraId="158DD52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完善公司治理结构与信息披露制度，定期向投资者提供真实、准确的财务与运营数据。签订明确的退出协议，明确退出条件、估值方式与支付条款，保障投资者权益。持续提升公司价值，通过技术创新、市场拓展、盈利能力提升，增强公司在资本市场的吸引力。建立投资者关系管理机制，加强与投资者的沟通与互动，为退出创造良好条件。</w:t>
      </w:r>
    </w:p>
    <w:p w14:paraId="5C9822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p>
    <w:sectPr>
      <w:footerReference r:id="rId7" w:type="default"/>
      <w:pgSz w:w="11906" w:h="16838"/>
      <w:pgMar w:top="1440" w:right="1800" w:bottom="1440" w:left="1800"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D5D3F">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E0BA6D">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6D5044">
    <w:pPr>
      <w:pStyle w:val="8"/>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C8AFDA">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7aJO4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GEsM0Kn768f30&#10;8+H06xvBGQRqXJgh7t4hMrbvbIu2Gc4DDhPvtvI6fcGIwA95jxd5RRsJT5emk+k0h4vDN2yAnz1e&#10;dz7E98JqkoyCetSvk5UdNiH2oUNIymbsWirV1VAZ0hT06vX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7aJO4zAgAAYwQAAA4AAAAAAAAAAQAgAAAAHwEAAGRycy9lMm9Eb2MueG1sUEsF&#10;BgAAAAAGAAYAWQEAAMQFAAAAAA==&#10;">
              <v:fill on="f" focussize="0,0"/>
              <v:stroke on="f" weight="0.5pt"/>
              <v:imagedata o:title=""/>
              <o:lock v:ext="edit" aspectratio="f"/>
              <v:textbox inset="0mm,0mm,0mm,0mm" style="mso-fit-shape-to-text:t;">
                <w:txbxContent>
                  <w:p w14:paraId="0AC8AFDA">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AC458E"/>
    <w:multiLevelType w:val="singleLevel"/>
    <w:tmpl w:val="88AC458E"/>
    <w:lvl w:ilvl="0" w:tentative="0">
      <w:start w:val="1"/>
      <w:numFmt w:val="decimal"/>
      <w:suff w:val="space"/>
      <w:lvlText w:val="8.%1"/>
      <w:lvlJc w:val="left"/>
      <w:pPr>
        <w:tabs>
          <w:tab w:val="left" w:pos="0"/>
        </w:tabs>
        <w:ind w:left="0" w:firstLine="0"/>
      </w:pPr>
      <w:rPr>
        <w:rFonts w:hint="default" w:ascii="黑体" w:hAnsi="黑体" w:eastAsia="黑体" w:cs="黑体"/>
      </w:rPr>
    </w:lvl>
  </w:abstractNum>
  <w:abstractNum w:abstractNumId="1">
    <w:nsid w:val="8DCD7692"/>
    <w:multiLevelType w:val="singleLevel"/>
    <w:tmpl w:val="8DCD7692"/>
    <w:lvl w:ilvl="0" w:tentative="0">
      <w:start w:val="1"/>
      <w:numFmt w:val="decimal"/>
      <w:suff w:val="nothing"/>
      <w:lvlText w:val="(%1)"/>
      <w:lvlJc w:val="left"/>
      <w:pPr>
        <w:ind w:left="425" w:hanging="425"/>
      </w:pPr>
      <w:rPr>
        <w:rFonts w:hint="default"/>
      </w:rPr>
    </w:lvl>
  </w:abstractNum>
  <w:abstractNum w:abstractNumId="2">
    <w:nsid w:val="907E9E94"/>
    <w:multiLevelType w:val="singleLevel"/>
    <w:tmpl w:val="907E9E94"/>
    <w:lvl w:ilvl="0" w:tentative="0">
      <w:start w:val="1"/>
      <w:numFmt w:val="decimal"/>
      <w:pStyle w:val="3"/>
      <w:suff w:val="space"/>
      <w:lvlText w:val="5.%1"/>
      <w:lvlJc w:val="left"/>
      <w:pPr>
        <w:tabs>
          <w:tab w:val="left" w:pos="0"/>
        </w:tabs>
        <w:ind w:left="0" w:firstLine="0"/>
      </w:pPr>
      <w:rPr>
        <w:rFonts w:hint="default" w:ascii="黑体" w:hAnsi="黑体" w:eastAsia="黑体" w:cs="黑体"/>
      </w:rPr>
    </w:lvl>
  </w:abstractNum>
  <w:abstractNum w:abstractNumId="3">
    <w:nsid w:val="A9B830EE"/>
    <w:multiLevelType w:val="singleLevel"/>
    <w:tmpl w:val="A9B830EE"/>
    <w:lvl w:ilvl="0" w:tentative="0">
      <w:start w:val="1"/>
      <w:numFmt w:val="decimal"/>
      <w:suff w:val="space"/>
      <w:lvlText w:val="9.2.%1"/>
      <w:lvlJc w:val="left"/>
      <w:pPr>
        <w:tabs>
          <w:tab w:val="left" w:pos="0"/>
        </w:tabs>
        <w:ind w:left="0" w:firstLine="0"/>
      </w:pPr>
      <w:rPr>
        <w:rFonts w:hint="default"/>
      </w:rPr>
    </w:lvl>
  </w:abstractNum>
  <w:abstractNum w:abstractNumId="4">
    <w:nsid w:val="A9D71A00"/>
    <w:multiLevelType w:val="singleLevel"/>
    <w:tmpl w:val="A9D71A00"/>
    <w:lvl w:ilvl="0" w:tentative="0">
      <w:start w:val="1"/>
      <w:numFmt w:val="decimal"/>
      <w:suff w:val="space"/>
      <w:lvlText w:val="1.2.%1"/>
      <w:lvlJc w:val="left"/>
      <w:pPr>
        <w:tabs>
          <w:tab w:val="left" w:pos="0"/>
        </w:tabs>
        <w:ind w:left="0" w:firstLine="0"/>
      </w:pPr>
      <w:rPr>
        <w:rFonts w:hint="default"/>
      </w:rPr>
    </w:lvl>
  </w:abstractNum>
  <w:abstractNum w:abstractNumId="5">
    <w:nsid w:val="ABEADFCC"/>
    <w:multiLevelType w:val="singleLevel"/>
    <w:tmpl w:val="ABEADFCC"/>
    <w:lvl w:ilvl="0" w:tentative="0">
      <w:start w:val="1"/>
      <w:numFmt w:val="decimal"/>
      <w:suff w:val="space"/>
      <w:lvlText w:val="6.%1"/>
      <w:lvlJc w:val="left"/>
      <w:pPr>
        <w:tabs>
          <w:tab w:val="left" w:pos="0"/>
        </w:tabs>
        <w:ind w:left="0" w:firstLine="0"/>
      </w:pPr>
      <w:rPr>
        <w:rFonts w:hint="default" w:ascii="黑体" w:hAnsi="黑体" w:eastAsia="黑体" w:cs="黑体"/>
      </w:rPr>
    </w:lvl>
  </w:abstractNum>
  <w:abstractNum w:abstractNumId="6">
    <w:nsid w:val="B111F80F"/>
    <w:multiLevelType w:val="singleLevel"/>
    <w:tmpl w:val="B111F80F"/>
    <w:lvl w:ilvl="0" w:tentative="0">
      <w:start w:val="1"/>
      <w:numFmt w:val="decimal"/>
      <w:suff w:val="nothing"/>
      <w:lvlText w:val="(%1)"/>
      <w:lvlJc w:val="left"/>
      <w:pPr>
        <w:ind w:left="425" w:hanging="425"/>
      </w:pPr>
      <w:rPr>
        <w:rFonts w:hint="default"/>
      </w:rPr>
    </w:lvl>
  </w:abstractNum>
  <w:abstractNum w:abstractNumId="7">
    <w:nsid w:val="B3F44374"/>
    <w:multiLevelType w:val="singleLevel"/>
    <w:tmpl w:val="B3F44374"/>
    <w:lvl w:ilvl="0" w:tentative="0">
      <w:start w:val="1"/>
      <w:numFmt w:val="decimal"/>
      <w:suff w:val="space"/>
      <w:lvlText w:val="8.3.%1"/>
      <w:lvlJc w:val="left"/>
      <w:pPr>
        <w:tabs>
          <w:tab w:val="left" w:pos="0"/>
        </w:tabs>
        <w:ind w:left="0" w:firstLine="0"/>
      </w:pPr>
      <w:rPr>
        <w:rFonts w:hint="default"/>
      </w:rPr>
    </w:lvl>
  </w:abstractNum>
  <w:abstractNum w:abstractNumId="8">
    <w:nsid w:val="BCB1583C"/>
    <w:multiLevelType w:val="singleLevel"/>
    <w:tmpl w:val="BCB1583C"/>
    <w:lvl w:ilvl="0" w:tentative="0">
      <w:start w:val="1"/>
      <w:numFmt w:val="decimal"/>
      <w:suff w:val="nothing"/>
      <w:lvlText w:val="(%1)"/>
      <w:lvlJc w:val="left"/>
      <w:pPr>
        <w:ind w:left="425" w:hanging="425"/>
      </w:pPr>
      <w:rPr>
        <w:rFonts w:hint="default"/>
      </w:rPr>
    </w:lvl>
  </w:abstractNum>
  <w:abstractNum w:abstractNumId="9">
    <w:nsid w:val="BECE0720"/>
    <w:multiLevelType w:val="singleLevel"/>
    <w:tmpl w:val="BECE0720"/>
    <w:lvl w:ilvl="0" w:tentative="0">
      <w:start w:val="1"/>
      <w:numFmt w:val="decimal"/>
      <w:suff w:val="space"/>
      <w:lvlText w:val="3.1.%1"/>
      <w:lvlJc w:val="left"/>
      <w:pPr>
        <w:tabs>
          <w:tab w:val="left" w:pos="0"/>
        </w:tabs>
        <w:ind w:left="0" w:firstLine="0"/>
      </w:pPr>
      <w:rPr>
        <w:rFonts w:hint="default"/>
      </w:rPr>
    </w:lvl>
  </w:abstractNum>
  <w:abstractNum w:abstractNumId="10">
    <w:nsid w:val="C11F5877"/>
    <w:multiLevelType w:val="singleLevel"/>
    <w:tmpl w:val="C11F5877"/>
    <w:lvl w:ilvl="0" w:tentative="0">
      <w:start w:val="1"/>
      <w:numFmt w:val="decimal"/>
      <w:suff w:val="space"/>
      <w:lvlText w:val="2.%1"/>
      <w:lvlJc w:val="left"/>
      <w:pPr>
        <w:tabs>
          <w:tab w:val="left" w:pos="0"/>
        </w:tabs>
        <w:ind w:left="0" w:firstLine="0"/>
      </w:pPr>
      <w:rPr>
        <w:rFonts w:hint="default" w:ascii="黑体" w:hAnsi="黑体" w:eastAsia="黑体" w:cs="黑体"/>
      </w:rPr>
    </w:lvl>
  </w:abstractNum>
  <w:abstractNum w:abstractNumId="11">
    <w:nsid w:val="C4EEEDDC"/>
    <w:multiLevelType w:val="singleLevel"/>
    <w:tmpl w:val="C4EEEDDC"/>
    <w:lvl w:ilvl="0" w:tentative="0">
      <w:start w:val="1"/>
      <w:numFmt w:val="decimal"/>
      <w:suff w:val="space"/>
      <w:lvlText w:val="3.3.%1"/>
      <w:lvlJc w:val="left"/>
      <w:pPr>
        <w:tabs>
          <w:tab w:val="left" w:pos="0"/>
        </w:tabs>
        <w:ind w:left="0" w:firstLine="0"/>
      </w:pPr>
      <w:rPr>
        <w:rFonts w:hint="default"/>
      </w:rPr>
    </w:lvl>
  </w:abstractNum>
  <w:abstractNum w:abstractNumId="12">
    <w:nsid w:val="C89D7865"/>
    <w:multiLevelType w:val="singleLevel"/>
    <w:tmpl w:val="C89D7865"/>
    <w:lvl w:ilvl="0" w:tentative="0">
      <w:start w:val="1"/>
      <w:numFmt w:val="decimal"/>
      <w:suff w:val="nothing"/>
      <w:lvlText w:val="(%1)"/>
      <w:lvlJc w:val="left"/>
      <w:pPr>
        <w:ind w:left="425" w:hanging="425"/>
      </w:pPr>
      <w:rPr>
        <w:rFonts w:hint="default"/>
      </w:rPr>
    </w:lvl>
  </w:abstractNum>
  <w:abstractNum w:abstractNumId="13">
    <w:nsid w:val="CD64C67C"/>
    <w:multiLevelType w:val="singleLevel"/>
    <w:tmpl w:val="CD64C67C"/>
    <w:lvl w:ilvl="0" w:tentative="0">
      <w:start w:val="1"/>
      <w:numFmt w:val="decimal"/>
      <w:suff w:val="space"/>
      <w:lvlText w:val="3.7.%1"/>
      <w:lvlJc w:val="left"/>
      <w:pPr>
        <w:tabs>
          <w:tab w:val="left" w:pos="0"/>
        </w:tabs>
        <w:ind w:left="0" w:firstLine="0"/>
      </w:pPr>
      <w:rPr>
        <w:rFonts w:hint="default"/>
      </w:rPr>
    </w:lvl>
  </w:abstractNum>
  <w:abstractNum w:abstractNumId="14">
    <w:nsid w:val="CEF3E32C"/>
    <w:multiLevelType w:val="singleLevel"/>
    <w:tmpl w:val="CEF3E32C"/>
    <w:lvl w:ilvl="0" w:tentative="0">
      <w:start w:val="1"/>
      <w:numFmt w:val="decimal"/>
      <w:suff w:val="space"/>
      <w:lvlText w:val="8.1.%1"/>
      <w:lvlJc w:val="left"/>
      <w:pPr>
        <w:tabs>
          <w:tab w:val="left" w:pos="0"/>
        </w:tabs>
        <w:ind w:left="0" w:firstLine="0"/>
      </w:pPr>
      <w:rPr>
        <w:rFonts w:hint="default"/>
      </w:rPr>
    </w:lvl>
  </w:abstractNum>
  <w:abstractNum w:abstractNumId="15">
    <w:nsid w:val="D10D34E4"/>
    <w:multiLevelType w:val="singleLevel"/>
    <w:tmpl w:val="D10D34E4"/>
    <w:lvl w:ilvl="0" w:tentative="0">
      <w:start w:val="1"/>
      <w:numFmt w:val="decimal"/>
      <w:suff w:val="nothing"/>
      <w:lvlText w:val="(%1)"/>
      <w:lvlJc w:val="left"/>
      <w:pPr>
        <w:ind w:left="425" w:hanging="425"/>
      </w:pPr>
      <w:rPr>
        <w:rFonts w:hint="default"/>
      </w:rPr>
    </w:lvl>
  </w:abstractNum>
  <w:abstractNum w:abstractNumId="16">
    <w:nsid w:val="D6C1E966"/>
    <w:multiLevelType w:val="singleLevel"/>
    <w:tmpl w:val="D6C1E966"/>
    <w:lvl w:ilvl="0" w:tentative="0">
      <w:start w:val="1"/>
      <w:numFmt w:val="decimal"/>
      <w:suff w:val="nothing"/>
      <w:lvlText w:val="(%1)"/>
      <w:lvlJc w:val="left"/>
      <w:pPr>
        <w:ind w:left="425" w:hanging="425"/>
      </w:pPr>
      <w:rPr>
        <w:rFonts w:hint="default"/>
      </w:rPr>
    </w:lvl>
  </w:abstractNum>
  <w:abstractNum w:abstractNumId="17">
    <w:nsid w:val="D762C510"/>
    <w:multiLevelType w:val="singleLevel"/>
    <w:tmpl w:val="D762C510"/>
    <w:lvl w:ilvl="0" w:tentative="0">
      <w:start w:val="1"/>
      <w:numFmt w:val="decimal"/>
      <w:suff w:val="space"/>
      <w:lvlText w:val="3.4.%1"/>
      <w:lvlJc w:val="left"/>
      <w:pPr>
        <w:tabs>
          <w:tab w:val="left" w:pos="0"/>
        </w:tabs>
        <w:ind w:left="0" w:firstLine="0"/>
      </w:pPr>
      <w:rPr>
        <w:rFonts w:hint="default"/>
      </w:rPr>
    </w:lvl>
  </w:abstractNum>
  <w:abstractNum w:abstractNumId="18">
    <w:nsid w:val="F75CF96B"/>
    <w:multiLevelType w:val="singleLevel"/>
    <w:tmpl w:val="F75CF96B"/>
    <w:lvl w:ilvl="0" w:tentative="0">
      <w:start w:val="1"/>
      <w:numFmt w:val="decimal"/>
      <w:suff w:val="space"/>
      <w:lvlText w:val="4.2.%1"/>
      <w:lvlJc w:val="left"/>
      <w:pPr>
        <w:tabs>
          <w:tab w:val="left" w:pos="0"/>
        </w:tabs>
        <w:ind w:left="0" w:firstLine="0"/>
      </w:pPr>
      <w:rPr>
        <w:rFonts w:hint="default"/>
      </w:rPr>
    </w:lvl>
  </w:abstractNum>
  <w:abstractNum w:abstractNumId="19">
    <w:nsid w:val="FC1E8F2B"/>
    <w:multiLevelType w:val="singleLevel"/>
    <w:tmpl w:val="FC1E8F2B"/>
    <w:lvl w:ilvl="0" w:tentative="0">
      <w:start w:val="1"/>
      <w:numFmt w:val="decimal"/>
      <w:suff w:val="space"/>
      <w:lvlText w:val="3.%1"/>
      <w:lvlJc w:val="left"/>
      <w:pPr>
        <w:tabs>
          <w:tab w:val="left" w:pos="0"/>
        </w:tabs>
        <w:ind w:left="0" w:firstLine="0"/>
      </w:pPr>
      <w:rPr>
        <w:rFonts w:hint="default" w:ascii="黑体" w:hAnsi="黑体" w:eastAsia="黑体" w:cs="黑体"/>
      </w:rPr>
    </w:lvl>
  </w:abstractNum>
  <w:abstractNum w:abstractNumId="20">
    <w:nsid w:val="0233E24C"/>
    <w:multiLevelType w:val="singleLevel"/>
    <w:tmpl w:val="0233E24C"/>
    <w:lvl w:ilvl="0" w:tentative="0">
      <w:start w:val="1"/>
      <w:numFmt w:val="decimal"/>
      <w:suff w:val="space"/>
      <w:lvlText w:val="3.6.%1"/>
      <w:lvlJc w:val="left"/>
      <w:pPr>
        <w:tabs>
          <w:tab w:val="left" w:pos="0"/>
        </w:tabs>
        <w:ind w:left="0" w:firstLine="0"/>
      </w:pPr>
      <w:rPr>
        <w:rFonts w:hint="default"/>
      </w:rPr>
    </w:lvl>
  </w:abstractNum>
  <w:abstractNum w:abstractNumId="21">
    <w:nsid w:val="0F7BCFAA"/>
    <w:multiLevelType w:val="singleLevel"/>
    <w:tmpl w:val="0F7BCFAA"/>
    <w:lvl w:ilvl="0" w:tentative="0">
      <w:start w:val="1"/>
      <w:numFmt w:val="decimal"/>
      <w:suff w:val="space"/>
      <w:lvlText w:val="4.1.%1"/>
      <w:lvlJc w:val="left"/>
      <w:pPr>
        <w:tabs>
          <w:tab w:val="left" w:pos="0"/>
        </w:tabs>
        <w:ind w:left="0" w:firstLine="0"/>
      </w:pPr>
      <w:rPr>
        <w:rFonts w:hint="default"/>
      </w:rPr>
    </w:lvl>
  </w:abstractNum>
  <w:abstractNum w:abstractNumId="22">
    <w:nsid w:val="13DD13A6"/>
    <w:multiLevelType w:val="singleLevel"/>
    <w:tmpl w:val="13DD13A6"/>
    <w:lvl w:ilvl="0" w:tentative="0">
      <w:start w:val="1"/>
      <w:numFmt w:val="decimal"/>
      <w:suff w:val="nothing"/>
      <w:lvlText w:val="(%1)"/>
      <w:lvlJc w:val="left"/>
      <w:pPr>
        <w:ind w:left="425" w:hanging="425"/>
      </w:pPr>
      <w:rPr>
        <w:rFonts w:hint="default"/>
      </w:rPr>
    </w:lvl>
  </w:abstractNum>
  <w:abstractNum w:abstractNumId="23">
    <w:nsid w:val="15BE14DA"/>
    <w:multiLevelType w:val="singleLevel"/>
    <w:tmpl w:val="15BE14DA"/>
    <w:lvl w:ilvl="0" w:tentative="0">
      <w:start w:val="1"/>
      <w:numFmt w:val="decimal"/>
      <w:suff w:val="space"/>
      <w:lvlText w:val="2.2.%1"/>
      <w:lvlJc w:val="left"/>
      <w:pPr>
        <w:tabs>
          <w:tab w:val="left" w:pos="0"/>
        </w:tabs>
        <w:ind w:left="0" w:firstLine="0"/>
      </w:pPr>
      <w:rPr>
        <w:rFonts w:hint="default"/>
      </w:rPr>
    </w:lvl>
  </w:abstractNum>
  <w:abstractNum w:abstractNumId="24">
    <w:nsid w:val="1633458E"/>
    <w:multiLevelType w:val="singleLevel"/>
    <w:tmpl w:val="1633458E"/>
    <w:lvl w:ilvl="0" w:tentative="0">
      <w:start w:val="1"/>
      <w:numFmt w:val="decimal"/>
      <w:suff w:val="space"/>
      <w:lvlText w:val="1.1.%1"/>
      <w:lvlJc w:val="left"/>
      <w:pPr>
        <w:ind w:left="0" w:firstLine="0"/>
      </w:pPr>
      <w:rPr>
        <w:rFonts w:hint="default"/>
      </w:rPr>
    </w:lvl>
  </w:abstractNum>
  <w:abstractNum w:abstractNumId="25">
    <w:nsid w:val="19E84B76"/>
    <w:multiLevelType w:val="singleLevel"/>
    <w:tmpl w:val="19E84B76"/>
    <w:lvl w:ilvl="0" w:tentative="0">
      <w:start w:val="1"/>
      <w:numFmt w:val="decimal"/>
      <w:suff w:val="nothing"/>
      <w:lvlText w:val="(%1)"/>
      <w:lvlJc w:val="left"/>
      <w:pPr>
        <w:ind w:left="425" w:hanging="425"/>
      </w:pPr>
      <w:rPr>
        <w:rFonts w:hint="default"/>
      </w:rPr>
    </w:lvl>
  </w:abstractNum>
  <w:abstractNum w:abstractNumId="26">
    <w:nsid w:val="20F3C586"/>
    <w:multiLevelType w:val="singleLevel"/>
    <w:tmpl w:val="20F3C586"/>
    <w:lvl w:ilvl="0" w:tentative="0">
      <w:start w:val="1"/>
      <w:numFmt w:val="decimal"/>
      <w:suff w:val="space"/>
      <w:lvlText w:val="2.1.%1"/>
      <w:lvlJc w:val="left"/>
      <w:pPr>
        <w:tabs>
          <w:tab w:val="left" w:pos="0"/>
        </w:tabs>
        <w:ind w:left="0" w:firstLine="0"/>
      </w:pPr>
      <w:rPr>
        <w:rFonts w:hint="default"/>
      </w:rPr>
    </w:lvl>
  </w:abstractNum>
  <w:abstractNum w:abstractNumId="27">
    <w:nsid w:val="2149C33B"/>
    <w:multiLevelType w:val="singleLevel"/>
    <w:tmpl w:val="2149C33B"/>
    <w:lvl w:ilvl="0" w:tentative="0">
      <w:start w:val="1"/>
      <w:numFmt w:val="decimal"/>
      <w:suff w:val="space"/>
      <w:lvlText w:val="6.2.%1"/>
      <w:lvlJc w:val="left"/>
      <w:pPr>
        <w:tabs>
          <w:tab w:val="left" w:pos="0"/>
        </w:tabs>
        <w:ind w:left="0" w:firstLine="0"/>
      </w:pPr>
      <w:rPr>
        <w:rFonts w:hint="default"/>
      </w:rPr>
    </w:lvl>
  </w:abstractNum>
  <w:abstractNum w:abstractNumId="28">
    <w:nsid w:val="22F9D965"/>
    <w:multiLevelType w:val="singleLevel"/>
    <w:tmpl w:val="22F9D965"/>
    <w:lvl w:ilvl="0" w:tentative="0">
      <w:start w:val="1"/>
      <w:numFmt w:val="decimal"/>
      <w:suff w:val="space"/>
      <w:lvlText w:val="5.%1"/>
      <w:lvlJc w:val="left"/>
      <w:pPr>
        <w:tabs>
          <w:tab w:val="left" w:pos="0"/>
        </w:tabs>
        <w:ind w:left="0" w:firstLine="0"/>
      </w:pPr>
      <w:rPr>
        <w:rFonts w:hint="default" w:ascii="黑体" w:hAnsi="黑体" w:eastAsia="黑体" w:cs="黑体"/>
      </w:rPr>
    </w:lvl>
  </w:abstractNum>
  <w:abstractNum w:abstractNumId="29">
    <w:nsid w:val="2DABAC39"/>
    <w:multiLevelType w:val="singleLevel"/>
    <w:tmpl w:val="2DABAC39"/>
    <w:lvl w:ilvl="0" w:tentative="0">
      <w:start w:val="1"/>
      <w:numFmt w:val="decimal"/>
      <w:suff w:val="space"/>
      <w:lvlText w:val="4.%1"/>
      <w:lvlJc w:val="left"/>
      <w:pPr>
        <w:tabs>
          <w:tab w:val="left" w:pos="0"/>
        </w:tabs>
        <w:ind w:left="0" w:firstLine="0"/>
      </w:pPr>
      <w:rPr>
        <w:rFonts w:hint="default" w:ascii="黑体" w:hAnsi="黑体" w:eastAsia="黑体" w:cs="黑体"/>
      </w:rPr>
    </w:lvl>
  </w:abstractNum>
  <w:abstractNum w:abstractNumId="30">
    <w:nsid w:val="343CB115"/>
    <w:multiLevelType w:val="singleLevel"/>
    <w:tmpl w:val="343CB115"/>
    <w:lvl w:ilvl="0" w:tentative="0">
      <w:start w:val="1"/>
      <w:numFmt w:val="decimal"/>
      <w:suff w:val="space"/>
      <w:lvlText w:val="8.5.%1"/>
      <w:lvlJc w:val="left"/>
      <w:pPr>
        <w:tabs>
          <w:tab w:val="left" w:pos="0"/>
        </w:tabs>
        <w:ind w:left="0" w:firstLine="0"/>
      </w:pPr>
      <w:rPr>
        <w:rFonts w:hint="default"/>
      </w:rPr>
    </w:lvl>
  </w:abstractNum>
  <w:abstractNum w:abstractNumId="31">
    <w:nsid w:val="35A7A2F3"/>
    <w:multiLevelType w:val="singleLevel"/>
    <w:tmpl w:val="35A7A2F3"/>
    <w:lvl w:ilvl="0" w:tentative="0">
      <w:start w:val="1"/>
      <w:numFmt w:val="chineseCounting"/>
      <w:pStyle w:val="2"/>
      <w:suff w:val="nothing"/>
      <w:lvlText w:val="%1、"/>
      <w:lvlJc w:val="left"/>
      <w:pPr>
        <w:ind w:left="0" w:firstLine="420"/>
      </w:pPr>
      <w:rPr>
        <w:rFonts w:hint="eastAsia"/>
      </w:rPr>
    </w:lvl>
  </w:abstractNum>
  <w:abstractNum w:abstractNumId="32">
    <w:nsid w:val="59E654C6"/>
    <w:multiLevelType w:val="singleLevel"/>
    <w:tmpl w:val="59E654C6"/>
    <w:lvl w:ilvl="0" w:tentative="0">
      <w:start w:val="1"/>
      <w:numFmt w:val="decimal"/>
      <w:suff w:val="space"/>
      <w:lvlText w:val="9.%1"/>
      <w:lvlJc w:val="left"/>
      <w:pPr>
        <w:tabs>
          <w:tab w:val="left" w:pos="0"/>
        </w:tabs>
        <w:ind w:left="0" w:firstLine="0"/>
      </w:pPr>
      <w:rPr>
        <w:rFonts w:hint="default" w:ascii="黑体" w:hAnsi="黑体" w:eastAsia="黑体" w:cs="黑体"/>
      </w:rPr>
    </w:lvl>
  </w:abstractNum>
  <w:abstractNum w:abstractNumId="33">
    <w:nsid w:val="5B8B46EA"/>
    <w:multiLevelType w:val="singleLevel"/>
    <w:tmpl w:val="5B8B46EA"/>
    <w:lvl w:ilvl="0" w:tentative="0">
      <w:start w:val="1"/>
      <w:numFmt w:val="decimal"/>
      <w:pStyle w:val="4"/>
      <w:suff w:val="space"/>
      <w:lvlText w:val="5.2.%1"/>
      <w:lvlJc w:val="left"/>
      <w:pPr>
        <w:tabs>
          <w:tab w:val="left" w:pos="0"/>
        </w:tabs>
        <w:ind w:left="0" w:firstLine="0"/>
      </w:pPr>
      <w:rPr>
        <w:rFonts w:hint="default"/>
      </w:rPr>
    </w:lvl>
  </w:abstractNum>
  <w:abstractNum w:abstractNumId="34">
    <w:nsid w:val="5CC33A6B"/>
    <w:multiLevelType w:val="singleLevel"/>
    <w:tmpl w:val="5CC33A6B"/>
    <w:lvl w:ilvl="0" w:tentative="0">
      <w:start w:val="1"/>
      <w:numFmt w:val="decimal"/>
      <w:suff w:val="space"/>
      <w:lvlText w:val="8.2.%1"/>
      <w:lvlJc w:val="left"/>
      <w:pPr>
        <w:tabs>
          <w:tab w:val="left" w:pos="0"/>
        </w:tabs>
        <w:ind w:left="0" w:firstLine="0"/>
      </w:pPr>
      <w:rPr>
        <w:rFonts w:hint="default"/>
      </w:rPr>
    </w:lvl>
  </w:abstractNum>
  <w:abstractNum w:abstractNumId="35">
    <w:nsid w:val="5DFEE403"/>
    <w:multiLevelType w:val="singleLevel"/>
    <w:tmpl w:val="5DFEE403"/>
    <w:lvl w:ilvl="0" w:tentative="0">
      <w:start w:val="1"/>
      <w:numFmt w:val="decimal"/>
      <w:suff w:val="space"/>
      <w:lvlText w:val="3.5.%1"/>
      <w:lvlJc w:val="left"/>
      <w:pPr>
        <w:tabs>
          <w:tab w:val="left" w:pos="0"/>
        </w:tabs>
        <w:ind w:left="0" w:firstLine="0"/>
      </w:pPr>
      <w:rPr>
        <w:rFonts w:hint="default"/>
      </w:rPr>
    </w:lvl>
  </w:abstractNum>
  <w:abstractNum w:abstractNumId="36">
    <w:nsid w:val="642CCC74"/>
    <w:multiLevelType w:val="singleLevel"/>
    <w:tmpl w:val="642CCC74"/>
    <w:lvl w:ilvl="0" w:tentative="0">
      <w:start w:val="1"/>
      <w:numFmt w:val="decimal"/>
      <w:suff w:val="nothing"/>
      <w:lvlText w:val="(%1)"/>
      <w:lvlJc w:val="left"/>
      <w:pPr>
        <w:ind w:left="425" w:hanging="425"/>
      </w:pPr>
      <w:rPr>
        <w:rFonts w:hint="default"/>
      </w:rPr>
    </w:lvl>
  </w:abstractNum>
  <w:abstractNum w:abstractNumId="37">
    <w:nsid w:val="698AC0E8"/>
    <w:multiLevelType w:val="singleLevel"/>
    <w:tmpl w:val="698AC0E8"/>
    <w:lvl w:ilvl="0" w:tentative="0">
      <w:start w:val="1"/>
      <w:numFmt w:val="decimal"/>
      <w:suff w:val="space"/>
      <w:lvlText w:val="8.4.%1"/>
      <w:lvlJc w:val="left"/>
      <w:pPr>
        <w:tabs>
          <w:tab w:val="left" w:pos="0"/>
        </w:tabs>
        <w:ind w:left="0" w:firstLine="0"/>
      </w:pPr>
      <w:rPr>
        <w:rFonts w:hint="default"/>
      </w:rPr>
    </w:lvl>
  </w:abstractNum>
  <w:abstractNum w:abstractNumId="38">
    <w:nsid w:val="6F1CEE93"/>
    <w:multiLevelType w:val="singleLevel"/>
    <w:tmpl w:val="6F1CEE93"/>
    <w:lvl w:ilvl="0" w:tentative="0">
      <w:start w:val="1"/>
      <w:numFmt w:val="decimal"/>
      <w:suff w:val="space"/>
      <w:lvlText w:val="2.3.%1"/>
      <w:lvlJc w:val="left"/>
      <w:pPr>
        <w:tabs>
          <w:tab w:val="left" w:pos="0"/>
        </w:tabs>
        <w:ind w:left="0" w:firstLine="0"/>
      </w:pPr>
      <w:rPr>
        <w:rFonts w:hint="default"/>
      </w:rPr>
    </w:lvl>
  </w:abstractNum>
  <w:abstractNum w:abstractNumId="39">
    <w:nsid w:val="767CFBE9"/>
    <w:multiLevelType w:val="singleLevel"/>
    <w:tmpl w:val="767CFBE9"/>
    <w:lvl w:ilvl="0" w:tentative="0">
      <w:start w:val="1"/>
      <w:numFmt w:val="decimal"/>
      <w:suff w:val="space"/>
      <w:lvlText w:val="1.3.%1"/>
      <w:lvlJc w:val="left"/>
      <w:pPr>
        <w:tabs>
          <w:tab w:val="left" w:pos="0"/>
        </w:tabs>
        <w:ind w:left="0" w:firstLine="0"/>
      </w:pPr>
      <w:rPr>
        <w:rFonts w:hint="default"/>
      </w:rPr>
    </w:lvl>
  </w:abstractNum>
  <w:abstractNum w:abstractNumId="40">
    <w:nsid w:val="772090EA"/>
    <w:multiLevelType w:val="singleLevel"/>
    <w:tmpl w:val="772090EA"/>
    <w:lvl w:ilvl="0" w:tentative="0">
      <w:start w:val="1"/>
      <w:numFmt w:val="decimal"/>
      <w:suff w:val="space"/>
      <w:lvlText w:val="1.%1"/>
      <w:lvlJc w:val="left"/>
      <w:pPr>
        <w:tabs>
          <w:tab w:val="left" w:pos="0"/>
        </w:tabs>
        <w:ind w:left="0" w:firstLine="0"/>
      </w:pPr>
      <w:rPr>
        <w:rFonts w:hint="default" w:ascii="黑体" w:hAnsi="黑体" w:eastAsia="黑体" w:cs="黑体"/>
      </w:rPr>
    </w:lvl>
  </w:abstractNum>
  <w:abstractNum w:abstractNumId="41">
    <w:nsid w:val="78EDAFBB"/>
    <w:multiLevelType w:val="singleLevel"/>
    <w:tmpl w:val="78EDAFBB"/>
    <w:lvl w:ilvl="0" w:tentative="0">
      <w:start w:val="1"/>
      <w:numFmt w:val="decimal"/>
      <w:suff w:val="nothing"/>
      <w:lvlText w:val="(%1)"/>
      <w:lvlJc w:val="left"/>
      <w:pPr>
        <w:ind w:left="425" w:hanging="425"/>
      </w:pPr>
      <w:rPr>
        <w:rFonts w:hint="default"/>
      </w:rPr>
    </w:lvl>
  </w:abstractNum>
  <w:abstractNum w:abstractNumId="42">
    <w:nsid w:val="7960E4AD"/>
    <w:multiLevelType w:val="singleLevel"/>
    <w:tmpl w:val="7960E4AD"/>
    <w:lvl w:ilvl="0" w:tentative="0">
      <w:start w:val="1"/>
      <w:numFmt w:val="decimal"/>
      <w:suff w:val="space"/>
      <w:lvlText w:val="7.%1"/>
      <w:lvlJc w:val="left"/>
      <w:pPr>
        <w:tabs>
          <w:tab w:val="left" w:pos="0"/>
        </w:tabs>
        <w:ind w:left="0" w:firstLine="0"/>
      </w:pPr>
      <w:rPr>
        <w:rFonts w:hint="default" w:ascii="黑体" w:hAnsi="黑体" w:eastAsia="黑体" w:cs="黑体"/>
      </w:rPr>
    </w:lvl>
  </w:abstractNum>
  <w:num w:numId="1">
    <w:abstractNumId w:val="31"/>
  </w:num>
  <w:num w:numId="2">
    <w:abstractNumId w:val="2"/>
  </w:num>
  <w:num w:numId="3">
    <w:abstractNumId w:val="33"/>
  </w:num>
  <w:num w:numId="4">
    <w:abstractNumId w:val="40"/>
  </w:num>
  <w:num w:numId="5">
    <w:abstractNumId w:val="24"/>
  </w:num>
  <w:num w:numId="6">
    <w:abstractNumId w:val="4"/>
  </w:num>
  <w:num w:numId="7">
    <w:abstractNumId w:val="39"/>
  </w:num>
  <w:num w:numId="8">
    <w:abstractNumId w:val="10"/>
  </w:num>
  <w:num w:numId="9">
    <w:abstractNumId w:val="26"/>
  </w:num>
  <w:num w:numId="10">
    <w:abstractNumId w:val="23"/>
  </w:num>
  <w:num w:numId="11">
    <w:abstractNumId w:val="38"/>
  </w:num>
  <w:num w:numId="12">
    <w:abstractNumId w:val="19"/>
  </w:num>
  <w:num w:numId="13">
    <w:abstractNumId w:val="9"/>
  </w:num>
  <w:num w:numId="14">
    <w:abstractNumId w:val="11"/>
  </w:num>
  <w:num w:numId="15">
    <w:abstractNumId w:val="17"/>
  </w:num>
  <w:num w:numId="16">
    <w:abstractNumId w:val="35"/>
  </w:num>
  <w:num w:numId="17">
    <w:abstractNumId w:val="20"/>
  </w:num>
  <w:num w:numId="18">
    <w:abstractNumId w:val="15"/>
  </w:num>
  <w:num w:numId="19">
    <w:abstractNumId w:val="12"/>
  </w:num>
  <w:num w:numId="20">
    <w:abstractNumId w:val="25"/>
  </w:num>
  <w:num w:numId="21">
    <w:abstractNumId w:val="1"/>
  </w:num>
  <w:num w:numId="22">
    <w:abstractNumId w:val="36"/>
  </w:num>
  <w:num w:numId="23">
    <w:abstractNumId w:val="6"/>
  </w:num>
  <w:num w:numId="24">
    <w:abstractNumId w:val="8"/>
  </w:num>
  <w:num w:numId="25">
    <w:abstractNumId w:val="13"/>
  </w:num>
  <w:num w:numId="26">
    <w:abstractNumId w:val="29"/>
  </w:num>
  <w:num w:numId="27">
    <w:abstractNumId w:val="21"/>
  </w:num>
  <w:num w:numId="28">
    <w:abstractNumId w:val="16"/>
  </w:num>
  <w:num w:numId="29">
    <w:abstractNumId w:val="41"/>
  </w:num>
  <w:num w:numId="30">
    <w:abstractNumId w:val="18"/>
  </w:num>
  <w:num w:numId="31">
    <w:abstractNumId w:val="22"/>
  </w:num>
  <w:num w:numId="32">
    <w:abstractNumId w:val="28"/>
  </w:num>
  <w:num w:numId="33">
    <w:abstractNumId w:val="5"/>
  </w:num>
  <w:num w:numId="34">
    <w:abstractNumId w:val="27"/>
    <w:lvlOverride w:ilvl="0">
      <w:startOverride w:val="1"/>
    </w:lvlOverride>
  </w:num>
  <w:num w:numId="35">
    <w:abstractNumId w:val="42"/>
  </w:num>
  <w:num w:numId="36">
    <w:abstractNumId w:val="0"/>
  </w:num>
  <w:num w:numId="37">
    <w:abstractNumId w:val="14"/>
  </w:num>
  <w:num w:numId="38">
    <w:abstractNumId w:val="34"/>
  </w:num>
  <w:num w:numId="39">
    <w:abstractNumId w:val="7"/>
  </w:num>
  <w:num w:numId="40">
    <w:abstractNumId w:val="37"/>
  </w:num>
  <w:num w:numId="41">
    <w:abstractNumId w:val="30"/>
  </w:num>
  <w:num w:numId="42">
    <w:abstractNumId w:val="32"/>
  </w:num>
  <w:num w:numId="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4B2A83"/>
    <w:rsid w:val="01987011"/>
    <w:rsid w:val="071243B7"/>
    <w:rsid w:val="0BB77C49"/>
    <w:rsid w:val="2AAF0DE6"/>
    <w:rsid w:val="2C2C463B"/>
    <w:rsid w:val="320A5EB8"/>
    <w:rsid w:val="36220ACC"/>
    <w:rsid w:val="3A5100EF"/>
    <w:rsid w:val="3D7953F3"/>
    <w:rsid w:val="48334FCE"/>
    <w:rsid w:val="4FB01626"/>
    <w:rsid w:val="51BA71FE"/>
    <w:rsid w:val="52054A9D"/>
    <w:rsid w:val="55DF749E"/>
    <w:rsid w:val="55F11240"/>
    <w:rsid w:val="578A5002"/>
    <w:rsid w:val="5C4D0EE8"/>
    <w:rsid w:val="63C50DC9"/>
    <w:rsid w:val="680A6924"/>
    <w:rsid w:val="6A4B2A83"/>
    <w:rsid w:val="6BB01632"/>
    <w:rsid w:val="6C5032AB"/>
    <w:rsid w:val="6F9067A4"/>
    <w:rsid w:val="708B5A7F"/>
    <w:rsid w:val="7130196B"/>
    <w:rsid w:val="736D1458"/>
    <w:rsid w:val="75D70921"/>
    <w:rsid w:val="761250D6"/>
    <w:rsid w:val="7C3B2841"/>
    <w:rsid w:val="7D7B47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1440" w:firstLineChars="200"/>
      <w:jc w:val="both"/>
    </w:pPr>
    <w:rPr>
      <w:rFonts w:eastAsia="宋体" w:asciiTheme="minorAscii" w:hAnsiTheme="minorAscii" w:cstheme="minorBidi"/>
      <w:kern w:val="2"/>
      <w:sz w:val="24"/>
      <w:szCs w:val="24"/>
      <w:lang w:val="en-US" w:eastAsia="zh-CN" w:bidi="ar-SA"/>
    </w:rPr>
  </w:style>
  <w:style w:type="paragraph" w:styleId="2">
    <w:name w:val="heading 1"/>
    <w:basedOn w:val="1"/>
    <w:next w:val="1"/>
    <w:qFormat/>
    <w:uiPriority w:val="0"/>
    <w:pPr>
      <w:numPr>
        <w:ilvl w:val="0"/>
        <w:numId w:val="1"/>
      </w:numPr>
      <w:pBdr>
        <w:top w:val="none" w:color="auto" w:sz="0" w:space="0"/>
        <w:left w:val="none" w:color="auto" w:sz="0" w:space="0"/>
        <w:bottom w:val="none" w:color="auto" w:sz="0" w:space="0"/>
        <w:right w:val="none" w:color="auto" w:sz="0" w:space="0"/>
        <w:between w:val="none" w:color="auto" w:sz="0" w:space="0"/>
      </w:pBdr>
      <w:ind w:left="0" w:firstLine="0" w:firstLineChars="0"/>
      <w:jc w:val="left"/>
      <w:outlineLvl w:val="0"/>
    </w:pPr>
    <w:rPr>
      <w:rFonts w:ascii="Segoe UI" w:hAnsi="Segoe UI" w:eastAsia="黑体" w:cs="Segoe UI"/>
      <w:b/>
      <w:bCs/>
      <w:color w:val="000000"/>
      <w:sz w:val="32"/>
      <w:szCs w:val="18"/>
    </w:rPr>
  </w:style>
  <w:style w:type="paragraph" w:styleId="3">
    <w:name w:val="heading 2"/>
    <w:basedOn w:val="1"/>
    <w:next w:val="1"/>
    <w:unhideWhenUsed/>
    <w:qFormat/>
    <w:uiPriority w:val="0"/>
    <w:pPr>
      <w:numPr>
        <w:ilvl w:val="0"/>
        <w:numId w:val="2"/>
      </w:numPr>
      <w:pBdr>
        <w:top w:val="none" w:color="auto" w:sz="0" w:space="0"/>
        <w:left w:val="none" w:color="auto" w:sz="0" w:space="0"/>
        <w:bottom w:val="none" w:color="auto" w:sz="0" w:space="0"/>
        <w:right w:val="none" w:color="auto" w:sz="0" w:space="0"/>
        <w:between w:val="none" w:color="auto" w:sz="0" w:space="0"/>
      </w:pBdr>
      <w:ind w:firstLineChars="0"/>
      <w:outlineLvl w:val="1"/>
    </w:pPr>
    <w:rPr>
      <w:rFonts w:ascii="黑体" w:hAnsi="黑体" w:eastAsia="黑体" w:cs="黑体"/>
      <w:b/>
      <w:color w:val="000000"/>
      <w:sz w:val="28"/>
      <w:szCs w:val="28"/>
    </w:rPr>
  </w:style>
  <w:style w:type="paragraph" w:styleId="4">
    <w:name w:val="heading 3"/>
    <w:basedOn w:val="1"/>
    <w:next w:val="1"/>
    <w:unhideWhenUsed/>
    <w:qFormat/>
    <w:uiPriority w:val="0"/>
    <w:pPr>
      <w:numPr>
        <w:ilvl w:val="0"/>
        <w:numId w:val="3"/>
      </w:numPr>
      <w:outlineLvl w:val="2"/>
    </w:pPr>
    <w:rPr>
      <w:rFonts w:ascii="黑体" w:hAnsi="黑体" w:eastAsia="黑体" w:cs="黑体"/>
      <w:b/>
      <w:bCs/>
      <w:sz w:val="24"/>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5">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7">
    <w:name w:val="toc 3"/>
    <w:basedOn w:val="1"/>
    <w:next w:val="1"/>
    <w:qFormat/>
    <w:uiPriority w:val="0"/>
    <w:pPr>
      <w:ind w:left="840" w:leftChars="400"/>
    </w:p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style>
  <w:style w:type="paragraph" w:styleId="11">
    <w:name w:val="toc 4"/>
    <w:basedOn w:val="1"/>
    <w:next w:val="1"/>
    <w:qFormat/>
    <w:uiPriority w:val="0"/>
    <w:pPr>
      <w:ind w:left="1260" w:leftChars="600"/>
    </w:pPr>
  </w:style>
  <w:style w:type="paragraph" w:styleId="12">
    <w:name w:val="toc 2"/>
    <w:basedOn w:val="1"/>
    <w:next w:val="1"/>
    <w:qFormat/>
    <w:uiPriority w:val="0"/>
    <w:pPr>
      <w:ind w:left="420" w:leftChars="200"/>
    </w:pPr>
  </w:style>
  <w:style w:type="paragraph" w:styleId="13">
    <w:name w:val="Normal (Web)"/>
    <w:basedOn w:val="1"/>
    <w:qFormat/>
    <w:uiPriority w:val="0"/>
    <w:rPr>
      <w:sz w:val="24"/>
    </w:rPr>
  </w:style>
  <w:style w:type="character" w:styleId="16">
    <w:name w:val="Strong"/>
    <w:basedOn w:val="15"/>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jpe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42</Pages>
  <Words>14529</Words>
  <Characters>15454</Characters>
  <Lines>0</Lines>
  <Paragraphs>0</Paragraphs>
  <TotalTime>189</TotalTime>
  <ScaleCrop>false</ScaleCrop>
  <LinksUpToDate>false</LinksUpToDate>
  <CharactersWithSpaces>15751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2025-12-03T15:33:00Z</dcterms:created>
  <dc:creator>茜向</dc:creator>
  <cp:lastModifiedBy>WPS_1648991700</cp:lastModifiedBy>
  <dcterms:modified xsi:type="dcterms:W3CDTF">2026-01-30T06:18:35Z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647D8B906CA34FC78EE086DBF2C84B1B_13</vt:lpwstr>
  </property>
  <property fmtid="{D5CDD505-2E9C-101B-9397-08002B2CF9AE}" pid="4" name="KSOTemplateDocerSaveRecord">
    <vt:lpwstr>eyJoZGlkIjoiMzE5ZDQ1YWE5ZjFhYmUyZTI4ZjIxMDA5NzA2NmFjZmMiLCJ1c2VySWQiOiIxMzU3Mjk2NjA0In0=</vt:lpwstr>
  </property>
</Properties>
</file>