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A6DD13">
      <w:pPr>
        <w:bidi w:val="0"/>
        <w:ind w:left="0" w:leftChars="0" w:firstLine="0" w:firstLineChars="0"/>
        <w:rPr>
          <w:rFonts w:hint="eastAsia" w:ascii="黑体" w:hAnsi="黑体" w:eastAsia="黑体" w:cs="黑体"/>
          <w:sz w:val="72"/>
          <w:szCs w:val="72"/>
          <w:lang w:val="en-US" w:eastAsia="zh-CN"/>
        </w:rPr>
      </w:pPr>
    </w:p>
    <w:p w14:paraId="3980C93E">
      <w:pPr>
        <w:pStyle w:val="2"/>
        <w:bidi w:val="0"/>
        <w:jc w:val="center"/>
        <w:rPr>
          <w:rFonts w:hint="default" w:ascii="黑体" w:hAnsi="黑体" w:eastAsia="黑体" w:cs="黑体"/>
          <w:b/>
          <w:bCs w:val="0"/>
          <w:sz w:val="72"/>
          <w:szCs w:val="72"/>
          <w:lang w:val="en-US" w:eastAsia="zh-CN"/>
        </w:rPr>
      </w:pPr>
      <w:bookmarkStart w:id="1" w:name="_GoBack"/>
      <w:r>
        <w:rPr>
          <w:rFonts w:hint="eastAsia" w:ascii="黑体" w:hAnsi="黑体" w:eastAsia="黑体" w:cs="黑体"/>
          <w:sz w:val="72"/>
          <w:szCs w:val="72"/>
        </w:rPr>
        <w:t>锐眼绿域侠</w:t>
      </w:r>
      <w:r>
        <w:rPr>
          <w:rFonts w:hint="eastAsia" w:ascii="黑体" w:hAnsi="黑体" w:cs="黑体"/>
          <w:sz w:val="72"/>
          <w:szCs w:val="72"/>
          <w:lang w:eastAsia="zh-CN"/>
        </w:rPr>
        <w:t>——</w:t>
      </w:r>
      <w:r>
        <w:rPr>
          <w:rFonts w:hint="eastAsia" w:ascii="黑体" w:hAnsi="黑体" w:eastAsia="黑体" w:cs="黑体"/>
          <w:sz w:val="72"/>
          <w:szCs w:val="72"/>
        </w:rPr>
        <w:t>基于激光雷达 + 深度相机的精准清扫机器人</w:t>
      </w:r>
    </w:p>
    <w:bookmarkEnd w:id="1"/>
    <w:p w14:paraId="21B57954">
      <w:pPr>
        <w:bidi w:val="0"/>
        <w:rPr>
          <w:lang w:val="en-US" w:eastAsia="zh-CN"/>
        </w:rPr>
      </w:pPr>
    </w:p>
    <w:p w14:paraId="4C927749">
      <w:pPr>
        <w:bidi w:val="0"/>
        <w:ind w:left="0" w:leftChars="0" w:firstLine="0" w:firstLineChars="0"/>
        <w:rPr>
          <w:lang w:val="en-US" w:eastAsia="zh-CN"/>
        </w:rPr>
      </w:pPr>
    </w:p>
    <w:p w14:paraId="42088D50">
      <w:pPr>
        <w:bidi w:val="0"/>
        <w:ind w:left="0" w:leftChars="0" w:firstLine="0" w:firstLineChars="0"/>
        <w:rPr>
          <w:lang w:val="en-US" w:eastAsia="zh-CN"/>
        </w:rPr>
      </w:pPr>
    </w:p>
    <w:p w14:paraId="0D7A675C">
      <w:pPr>
        <w:bidi w:val="0"/>
        <w:ind w:left="0" w:leftChars="0" w:firstLine="0" w:firstLineChars="0"/>
        <w:rPr>
          <w:lang w:val="en-US" w:eastAsia="zh-CN"/>
        </w:rPr>
      </w:pPr>
    </w:p>
    <w:p w14:paraId="4FDC6BFD">
      <w:pPr>
        <w:bidi w:val="0"/>
        <w:ind w:left="0" w:leftChars="0" w:firstLine="0" w:firstLineChars="0"/>
        <w:rPr>
          <w:lang w:val="en-US" w:eastAsia="zh-CN"/>
        </w:rPr>
      </w:pPr>
    </w:p>
    <w:p w14:paraId="755E3A74">
      <w:pPr>
        <w:bidi w:val="0"/>
        <w:ind w:left="0" w:leftChars="0" w:firstLine="0" w:firstLineChars="0"/>
        <w:rPr>
          <w:lang w:val="en-US" w:eastAsia="zh-CN"/>
        </w:rPr>
      </w:pPr>
    </w:p>
    <w:p w14:paraId="79A08B52">
      <w:pPr>
        <w:bidi w:val="0"/>
        <w:ind w:left="0" w:leftChars="0" w:firstLine="0" w:firstLineChars="0"/>
        <w:rPr>
          <w:lang w:val="en-US" w:eastAsia="zh-CN"/>
        </w:rPr>
      </w:pPr>
    </w:p>
    <w:p w14:paraId="511A81F3">
      <w:pPr>
        <w:bidi w:val="0"/>
        <w:ind w:left="0" w:leftChars="0" w:firstLine="0" w:firstLineChars="0"/>
        <w:rPr>
          <w:lang w:val="en-US" w:eastAsia="zh-CN"/>
        </w:rPr>
      </w:pPr>
    </w:p>
    <w:p w14:paraId="10C54E22">
      <w:pPr>
        <w:bidi w:val="0"/>
        <w:ind w:left="0" w:leftChars="0" w:firstLine="0" w:firstLineChars="0"/>
        <w:jc w:val="center"/>
        <w:rPr>
          <w:rFonts w:hint="eastAsia" w:ascii="黑体" w:hAnsi="黑体" w:eastAsia="黑体" w:cs="黑体"/>
          <w:b/>
          <w:bCs/>
          <w:sz w:val="96"/>
          <w:szCs w:val="9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96"/>
          <w:szCs w:val="96"/>
          <w:lang w:val="en-US" w:eastAsia="zh-CN"/>
        </w:rPr>
        <w:t>商</w:t>
      </w:r>
    </w:p>
    <w:p w14:paraId="63238CB3">
      <w:pPr>
        <w:bidi w:val="0"/>
        <w:ind w:left="0" w:leftChars="0" w:firstLine="0" w:firstLineChars="0"/>
        <w:jc w:val="center"/>
        <w:rPr>
          <w:rFonts w:hint="eastAsia" w:ascii="黑体" w:hAnsi="黑体" w:eastAsia="黑体" w:cs="黑体"/>
          <w:b/>
          <w:bCs/>
          <w:sz w:val="96"/>
          <w:szCs w:val="9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96"/>
          <w:szCs w:val="96"/>
          <w:lang w:val="en-US" w:eastAsia="zh-CN"/>
        </w:rPr>
        <w:t>业</w:t>
      </w:r>
    </w:p>
    <w:p w14:paraId="43E727A9">
      <w:pPr>
        <w:bidi w:val="0"/>
        <w:ind w:left="0" w:leftChars="0" w:firstLine="0" w:firstLineChars="0"/>
        <w:jc w:val="center"/>
        <w:rPr>
          <w:rFonts w:hint="eastAsia" w:ascii="黑体" w:hAnsi="黑体" w:eastAsia="黑体" w:cs="黑体"/>
          <w:b/>
          <w:bCs/>
          <w:sz w:val="96"/>
          <w:szCs w:val="9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96"/>
          <w:szCs w:val="96"/>
          <w:lang w:val="en-US" w:eastAsia="zh-CN"/>
        </w:rPr>
        <w:t>计</w:t>
      </w:r>
    </w:p>
    <w:p w14:paraId="03C3081B">
      <w:pPr>
        <w:bidi w:val="0"/>
        <w:ind w:left="0" w:leftChars="0" w:firstLine="0" w:firstLineChars="0"/>
        <w:jc w:val="center"/>
        <w:rPr>
          <w:rFonts w:hint="eastAsia" w:ascii="黑体" w:hAnsi="黑体" w:eastAsia="黑体" w:cs="黑体"/>
          <w:b/>
          <w:bCs/>
          <w:sz w:val="96"/>
          <w:szCs w:val="9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96"/>
          <w:szCs w:val="96"/>
          <w:lang w:val="en-US" w:eastAsia="zh-CN"/>
        </w:rPr>
        <w:t>划</w:t>
      </w:r>
    </w:p>
    <w:p w14:paraId="74144D98">
      <w:pPr>
        <w:bidi w:val="0"/>
        <w:ind w:left="0" w:leftChars="0" w:firstLine="0" w:firstLineChars="0"/>
        <w:jc w:val="center"/>
        <w:rPr>
          <w:rFonts w:hint="default" w:ascii="黑体" w:hAnsi="黑体" w:eastAsia="黑体" w:cs="黑体"/>
          <w:b/>
          <w:bCs/>
          <w:sz w:val="96"/>
          <w:szCs w:val="9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96"/>
          <w:szCs w:val="96"/>
          <w:lang w:val="en-US" w:eastAsia="zh-CN"/>
        </w:rPr>
        <w:t>书</w:t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2026"/>
        <w15:color w:val="DBDBDB"/>
        <w:docPartObj>
          <w:docPartGallery w:val="Table of Contents"/>
          <w:docPartUnique/>
        </w:docPartObj>
      </w:sdtPr>
      <w:sdtEndPr>
        <w:rPr>
          <w:rFonts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sdtEndPr>
      <w:sdtContent>
        <w:p w14:paraId="7389C8C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1160D8E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165C4975">
          <w:pPr>
            <w:pStyle w:val="2"/>
            <w:numPr>
              <w:ilvl w:val="0"/>
              <w:numId w:val="0"/>
            </w:numPr>
            <w:bidi w:val="0"/>
            <w:ind w:leftChars="0"/>
            <w:outlineLvl w:val="9"/>
            <w:rPr>
              <w:rFonts w:hint="eastAsia"/>
              <w:lang w:val="en-US" w:eastAsia="zh-CN"/>
            </w:rPr>
            <w:sectPr>
              <w:headerReference r:id="rId5" w:type="default"/>
              <w:pgSz w:w="11906" w:h="16838"/>
              <w:pgMar w:top="1440" w:right="1800" w:bottom="1440" w:left="1800" w:header="851" w:footer="992" w:gutter="0"/>
              <w:pgNumType w:fmt="decimal" w:start="1"/>
              <w:cols w:space="425" w:num="1"/>
              <w:docGrid w:type="lines" w:linePitch="312" w:charSpace="0"/>
            </w:sectPr>
          </w:pPr>
          <w:bookmarkStart w:id="0" w:name="_Toc31404"/>
        </w:p>
      </w:sdtContent>
    </w:sdt>
    <w:bookmarkEnd w:id="0"/>
    <w:p w14:paraId="14914A0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一、项目概述</w:t>
      </w:r>
    </w:p>
    <w:p w14:paraId="4E6257D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（二）项目定位</w:t>
      </w:r>
    </w:p>
    <w:p w14:paraId="53222E7C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本项目基于 LanderPi 机器人成熟硬件平台与 ROS2 智能架构，聚焦城市花坛、绿化带、园林景观等狭窄复杂场景的垃圾清理行业痛点，研发一款集自主导航、精准识别、高效清理、智能运维于一体的小型化智能垃圾清理设备。项目以 “科技赋能环卫产业升级，智能破解绿化清洁难题” 为核心使命，致力于为城市管理部门、物业企业、园林养护机构、公园景区等客户提供低成本、高效率、低人工、低干扰的绿化区域清洁解决方案，填补细分场景智能清洁设备的市场空白，打造绿化清洁领域的标杆性产品与服务体系。</w:t>
      </w:r>
    </w:p>
    <w:p w14:paraId="64DE84D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（三）核心价值</w:t>
      </w:r>
    </w:p>
    <w:p w14:paraId="50F2A2CD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场景精准适配：针对花坛间隙、灌木丛、坡地、绿篱周边等人工难以触及的狭窄复杂空间，依托 LanderPi 多形态底盘优势，实现全方位无死角清理，解决传统清洁设备 “进不去、转不开、清不净” 的痛点。</w:t>
      </w:r>
    </w:p>
    <w:p w14:paraId="1D0FF8DB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技术深度赋能：融合 ROS2 分布式智能控制系统、激光雷达 360° 避障、深度视觉垃圾识别、SLAM 自主建图导航等核心技术，实现 “自主规划路径、自动识别垃圾、精准抓取清理、智能规避障碍” 全流程自动化作业，人工依赖度降低 90% 以上。</w:t>
      </w:r>
    </w:p>
    <w:p w14:paraId="07B30C93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环保节能理念：采用 7.4V 2200mAh 高性能锂电池供电，零排放、低噪音（作业噪音≤55dB），契合 “双碳” 战略与城市绿色发展理念，避免传统燃油设备对绿化植物与城市环境的二次污染。</w:t>
      </w:r>
    </w:p>
    <w:p w14:paraId="1BB021C6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商业模式多元：构建 “设备销售 + 租赁服务 + 运维支持 + 数据增值” 的全链条盈利模式，覆盖不同客户群体的差异化需求，兼顾短期收益与长期可持续运营，保障项目商业价值最大化。</w:t>
      </w:r>
    </w:p>
    <w:p w14:paraId="3D1FFF6C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社会价值显著：有效降低环卫人员劳动强度，减少弯腰劳作、高空作业等安全风险，提升城市绿化清洁效率与质量，助力打造生态宜居、精细化管理的现代化城市。</w:t>
      </w:r>
    </w:p>
    <w:p w14:paraId="45B56FE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二、市场分析</w:t>
      </w:r>
    </w:p>
    <w:p w14:paraId="71A324F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（一）市场需求分析</w:t>
      </w:r>
    </w:p>
    <w:p w14:paraId="17ADD714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政策驱动：国家层面出台《“十四五” 城镇生活垃圾分类和处理设施发展规划》《城市园林绿化管理条例》等政策，要求提升城市精细化管理水平，加强园林绿化养护与环境清洁力度。各地政府纷纷响应，将智能环卫设备采购、绿化养护智能化升级纳入财政预算，为项目提供强劲政策支撑。</w:t>
      </w:r>
    </w:p>
    <w:p w14:paraId="37458922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行业痛点：传统城市花坛绿化带垃圾清理主要依赖人工，存在三大核心痛点：一是效率低下，人工弯腰捡拾人均日清理面积仅 500-800㎡，且易遗漏隐蔽垃圾；二是成本高昂，随着人工薪酬上涨，环卫企业人力成本年均增长 10-15%，长期负担沉重；三是安全风险，高空绿化带清理、陡坡作业等场景易发生坠落、磕碰等安全事故，企业面临较高用工风险。</w:t>
      </w:r>
    </w:p>
    <w:p w14:paraId="20532FBD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客户需求：</w:t>
      </w:r>
    </w:p>
    <w:p w14:paraId="07CC3EBF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政府端客户：城市管理局、园林绿化局、环卫集团等，需求集中在批量采购、长期合作，注重设备稳定性、作业效率与政策适配性，对价格敏感度相对较低，重视售后服务与技术支持。</w:t>
      </w:r>
    </w:p>
    <w:p w14:paraId="5DE9BBB5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商业端客户：大型物业小区、商业综合体、写字楼园区等，需求聚焦于提升园区环境品质、降低运营成本，倾向于灵活的租赁或采购模式，要求设备操作简便、噪音低、不干扰居民与商户。</w:t>
      </w:r>
    </w:p>
    <w:p w14:paraId="3AD0A508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专业端客户：园林养护公司、市政工程承包商、公园景区管理处等，需求具有场景多样性（如公园大面积绿化、景区复杂地形），重视设备的全地形适配性、续航能力与耐用性，部分客户有定制化需求。</w:t>
      </w:r>
    </w:p>
    <w:p w14:paraId="6188C97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（二）市场规模测算</w:t>
      </w:r>
    </w:p>
    <w:p w14:paraId="7385D661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据住建部数据显示，截至 2023 年底，我国城市建成区绿化覆盖面积已达 289.8 万公顷，其中花坛、绿化带等精细化绿化区域占比约 30%，对应面积超 86.9 万公顷。按每公顷年均垃圾清理费用 3.5 万元（含人工、设备、耗材等）计算，仅城市核心区域绿化垃圾清理市场规模已达 304 亿元 / 年。</w:t>
      </w:r>
    </w:p>
    <w:p w14:paraId="7B1E4210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随着智能化环卫设备渗透率提升，当前细分市场智能设备渗透率不足 5%，远低于欧美国家 30% 以上的水平。预计未来 5 年，随着政策推动、人工成本上涨与技术成熟，智能绿化清洁设备渗透率将以年均 5 个百分点的速度增长，到 2028 年渗透率有望达到 30%，对应市场规模将突破 900 亿元，年复合增长率达 25.8%，市场增长潜力巨大。</w:t>
      </w:r>
    </w:p>
    <w:p w14:paraId="476331D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（三）竞争格局分析</w:t>
      </w:r>
    </w:p>
    <w:p w14:paraId="55636AE6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现有竞争主体：</w:t>
      </w:r>
    </w:p>
    <w:p w14:paraId="71B3BCFC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传统环卫设备企业：如中联重科、盈峰环境等，主打大型扫地车、洗地车等通用设备，产品体积大、价格高（单台 10 万元以上），无法适配花坛绿化带等狭窄场景，市场适配性不足。</w:t>
      </w:r>
    </w:p>
    <w:p w14:paraId="1A07A4E8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小型清洁设备厂商：以手动或半自动化小型设备为主，缺乏智能导航与识别功能，仍需人工操作，效率提升有限，且产品质量参差不齐。</w:t>
      </w:r>
    </w:p>
    <w:p w14:paraId="7AD10D11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机器人创业企业：部分企业聚焦特定场景，但技术不成熟，存在导航精度低、垃圾识别准确率不足、续航短等问题，尚未形成规模化推广。</w:t>
      </w:r>
    </w:p>
    <w:p w14:paraId="5E8CC67B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项目竞争优势：</w:t>
      </w:r>
    </w:p>
    <w:p w14:paraId="6626EC7A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技术优势：依托 LanderPi 成熟硬件平台与 ROS2 智能架构，核心技术经过市场验证，导航精度≤0.1m，垃圾识别准确率≥95%，全地形适配性强，技术成熟度远超行业同类产品。</w:t>
      </w:r>
    </w:p>
    <w:p w14:paraId="44F80CB7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场景优势：精准聚焦花坛绿化带细分场景，产品体积小巧（长宽高≤60cm×40cm×30cm），麦轮 / 履带 / 阿克曼三种底盘形态可快速切换，适配狭窄空间、坡地、灌木丛等多种复杂地形，填补市场空白。</w:t>
      </w:r>
    </w:p>
    <w:p w14:paraId="5051F75D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成本优势：核心硬件采用规模化采购，依托 LanderPi 现有供应链体系，研发与生产成本显著降低，产品定价 3-5 万元 / 台，仅为传统大型智能环卫设备的 1/3-1/2，性价比优势突出。</w:t>
      </w:r>
    </w:p>
    <w:p w14:paraId="13720CEE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服务优势：提供 “设备 + 服务 + 数据” 一体化解决方案，涵盖售前场景调研、方案设计、设备调试，售中操作培训，售后 48 小时快速响应维修、算法迭代升级等全流程服务，客户粘性强。</w:t>
      </w:r>
    </w:p>
    <w:p w14:paraId="24D797D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（四）市场趋势预测</w:t>
      </w:r>
    </w:p>
    <w:p w14:paraId="4E097B91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智能化趋势：环卫设备智能化是行业必然趋势，自主导航、AI 识别、远程控制等功能将成为标配，单纯手动或半自动化设备市场份额将持续萎缩。</w:t>
      </w:r>
    </w:p>
    <w:p w14:paraId="5F8C0165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小型化与场景化趋势：城市精细化管理要求不断提高，通用型设备已无法满足细分场景需求，小型化、专业化、场景定制化的清洁设备将成为市场主流。</w:t>
      </w:r>
    </w:p>
    <w:p w14:paraId="39095F41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服务化趋势：客户更倾向于 “轻资产” 运营模式，设备租赁、运维外包等服务型业务占比将逐步提升，“销售 + 服务” 一体化模式更具市场竞争力。</w:t>
      </w:r>
    </w:p>
    <w:p w14:paraId="6FE0C589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绿色节能趋势：环保政策日益严格，零排放、低噪音、低能耗的智能设备将获得政策倾斜与市场青睐，燃油型、高能耗设备将逐步被淘汰。</w:t>
      </w:r>
    </w:p>
    <w:p w14:paraId="5273858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三、产品与技术方案</w:t>
      </w:r>
    </w:p>
    <w:p w14:paraId="1BBD5E6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（一）产品整体设计</w:t>
      </w:r>
    </w:p>
    <w:p w14:paraId="6EF8337A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产品定位：小型化、智能化、全地形适配的城市花坛绿化带垃圾清理专用设备，核心目标是替代人工完成纸屑、塑料瓶、落叶、烟头、果皮等各类垃圾的精准清理。</w:t>
      </w:r>
    </w:p>
    <w:p w14:paraId="0A4E5A35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产品形态：采用模块化设计，主要由移动底盘、感知系统、清理系统、控制系统、供电系统五大核心模块组成，整体造型紧凑小巧，便于在狭窄空间灵活作业。</w:t>
      </w:r>
    </w:p>
    <w:p w14:paraId="20DC3231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核心参数：</w:t>
      </w:r>
    </w:p>
    <w:p w14:paraId="489DEDA5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尺寸：长≤60cm，宽≤40cm，高≤30cm</w:t>
      </w:r>
    </w:p>
    <w:p w14:paraId="07DE9295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重量：≤15kg（含电池）</w:t>
      </w:r>
    </w:p>
    <w:p w14:paraId="492C17EE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续航能力：单次充电续航 4-6 小时，作业面积 1500-2000㎡</w:t>
      </w:r>
    </w:p>
    <w:p w14:paraId="6891F7D4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清理效率：1000-1200㎡/ 小时，是人工清理效率的 3-5 倍</w:t>
      </w:r>
    </w:p>
    <w:p w14:paraId="055C558F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垃圾识别准确率：≥95%</w:t>
      </w:r>
    </w:p>
    <w:p w14:paraId="79CF9C85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导航精度：≤0.1m</w:t>
      </w:r>
    </w:p>
    <w:p w14:paraId="56C09941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避障距离：0.1-13.4m（支持 360° 全向避障）</w:t>
      </w:r>
    </w:p>
    <w:p w14:paraId="3AF1ACDE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作业噪音：≤55dB</w:t>
      </w:r>
    </w:p>
    <w:p w14:paraId="4D971A12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充电时间：1 小时快速充满（支持快充）</w:t>
      </w:r>
    </w:p>
    <w:p w14:paraId="476AA02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（二）核心硬件配置</w:t>
      </w:r>
    </w:p>
    <w:p w14:paraId="5B9A5489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控制系统：</w:t>
      </w:r>
    </w:p>
    <w:p w14:paraId="0E8D390D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主控单元：树莓派 5 主控板，ARM Cortex-A76 架构，4 核 2.4GHz 主频，集成 4GB LPDDR4X 内存，具备强大的数据处理与算法运行能力，支持主流深度学习框架。</w:t>
      </w:r>
    </w:p>
    <w:p w14:paraId="1886268F">
      <w:pPr>
        <w:rPr>
          <w:rFonts w:hint="eastAsia" w:ascii="Segoe UI" w:hAnsi="Segoe UI" w:eastAsia="黑体" w:cs="Segoe UI"/>
          <w:b w:val="0"/>
          <w:bCs w:val="0"/>
          <w:i w:val="0"/>
          <w:iCs w:val="0"/>
          <w:caps w:val="0"/>
          <w:color w:val="000000"/>
          <w:spacing w:val="0"/>
          <w:sz w:val="28"/>
          <w:szCs w:val="18"/>
          <w:lang w:eastAsia="zh-CN"/>
        </w:rPr>
      </w:pPr>
      <w:r>
        <w:rPr>
          <w:rFonts w:hint="eastAsia" w:ascii="Segoe UI" w:hAnsi="Segoe UI" w:eastAsia="黑体" w:cs="Segoe UI"/>
          <w:b w:val="0"/>
          <w:bCs w:val="0"/>
          <w:i w:val="0"/>
          <w:iCs w:val="0"/>
          <w:caps w:val="0"/>
          <w:color w:val="000000"/>
          <w:spacing w:val="0"/>
          <w:sz w:val="28"/>
          <w:szCs w:val="18"/>
          <w:lang w:eastAsia="zh-CN"/>
        </w:rPr>
        <w:drawing>
          <wp:inline distT="0" distB="0" distL="114300" distR="114300">
            <wp:extent cx="4327525" cy="2789555"/>
            <wp:effectExtent l="0" t="0" r="6350" b="1270"/>
            <wp:docPr id="5" name="图片 5" descr="屏幕截图 2025-12-04 180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12-04 18070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7525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13A10"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25" w:firstLineChars="0"/>
        <w:jc w:val="center"/>
        <w:textAlignment w:val="auto"/>
        <w:rPr>
          <w:rFonts w:hint="eastAsia" w:ascii="Segoe UI" w:hAnsi="Segoe UI" w:eastAsia="黑体" w:cs="Segoe UI"/>
          <w:b w:val="0"/>
          <w:bCs w:val="0"/>
          <w:i w:val="0"/>
          <w:iCs w:val="0"/>
          <w:caps w:val="0"/>
          <w:color w:val="000000"/>
          <w:spacing w:val="0"/>
          <w:sz w:val="28"/>
          <w:szCs w:val="1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16"/>
          <w:lang w:val="en-US" w:eastAsia="zh-CN" w:bidi="ar"/>
        </w:rPr>
        <w:t>图</w:t>
      </w:r>
      <w:r>
        <w:rPr>
          <w:rFonts w:hint="eastAsia" w:ascii="宋体" w:hAnsi="宋体" w:cs="宋体"/>
          <w:b w:val="0"/>
          <w:bCs w:val="0"/>
          <w:kern w:val="0"/>
          <w:sz w:val="24"/>
          <w:szCs w:val="16"/>
          <w:lang w:val="en-US" w:eastAsia="zh-CN" w:bidi="ar"/>
        </w:rPr>
        <w:t>3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16"/>
          <w:lang w:val="en-US" w:eastAsia="zh-CN" w:bidi="ar"/>
        </w:rPr>
        <w:t>.1 树莓派外观图</w:t>
      </w:r>
    </w:p>
    <w:p w14:paraId="02AF3CC4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底层控制器：STM32F407VET6 控制器，ARM Cortex-M4 内核，168MHz 主频，512KB Flash，192KB SRAM，负责电机控制、传感器数据采集、执行机构驱动等实时控制任务。</w:t>
      </w:r>
    </w:p>
    <w:p w14:paraId="15A69EAE">
      <w:r>
        <w:drawing>
          <wp:inline distT="0" distB="0" distL="114300" distR="114300">
            <wp:extent cx="4615180" cy="3836035"/>
            <wp:effectExtent l="0" t="0" r="4445" b="2540"/>
            <wp:docPr id="3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5180" cy="383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E143B">
      <w:pPr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图3.2扩展板</w:t>
      </w:r>
    </w:p>
    <w:p w14:paraId="799CB107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通信模块：支持 AP 直连、局域网（STA）双模通信，配备 WiFiManager 管理工具，支持 5G/WiFi 切换，通信距离≥100m，抗干扰能力强，保障远程控制与数据传输稳定。</w:t>
      </w:r>
    </w:p>
    <w:p w14:paraId="35A36F72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移动底盘系统：</w:t>
      </w:r>
    </w:p>
    <w:p w14:paraId="0659971C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底盘形态：支持麦轮、阿克曼、履带三种形态快速切换，适配不同场景：</w:t>
      </w:r>
    </w:p>
    <w:p w14:paraId="16E023F0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麦轮底盘：支持全向移动，最小转弯半径≤0.3m，适配狭窄花坛间隙、平整绿化带等场景；</w:t>
      </w:r>
    </w:p>
    <w:p w14:paraId="3BC0D804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阿克曼底盘：转向灵活，行驶速度快（最高速度≤3km/h），适配大面积平坦绿化区域；</w:t>
      </w:r>
    </w:p>
    <w:p w14:paraId="60B65919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履带底盘：接地面积大，抓地力强，适配坡地（坡度≤25°）、泥泞、碎石等复杂地形。</w:t>
      </w:r>
    </w:p>
    <w:p w14:paraId="5B64C27C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动力单元：JGA27-310R20 霍尔编码直流减速电机，额定电压 7.4V，堵转扭矩≥1.0kg・cm，减速比 1:20，输出轴直径 3mm，配备 AB 相增量式霍尔编码器，速度控制精度高。</w:t>
      </w:r>
    </w:p>
    <w:p w14:paraId="72B49182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转向控制：HX-06L 智能总线舵机，舵机精度 0.3°，堵转扭矩 6kg・cm，支持角度回读与过温、堵转保护，确保转向精准稳定。</w:t>
      </w:r>
    </w:p>
    <w:p w14:paraId="2BF54E51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感知系统：</w:t>
      </w:r>
    </w:p>
    <w:p w14:paraId="4CC76D97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激光雷达：MS200 TOF 激光雷达，360° 全向扫描，测距范围 0.1-13.4m，角度分辨率 0.8°，测量频率 4500 次 / 秒，抗环境光强度 30KLux，可精准识别障碍物与地形轮廓。</w:t>
      </w:r>
    </w:p>
    <w:p w14:paraId="29CEE5DF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深度相机：Aurora930 3D 深度相机，采用 3D 结构光技术，融合 RGB 与深度数据，工作距离 30-300cm，深度精度 3mm@0.5m、7mm@1m，支持垃圾与绿化植物精准区分。</w:t>
      </w:r>
    </w:p>
    <w:p w14:paraId="38695D4A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辅助传感器：IMU 加速度陀螺仪（QMI8658），实时采集设备姿态数据（加速度、角速度），采样率≥100Hz，保障导航稳定性与地形适应性；超声波传感器（4 个），辅助近距离避障，避免碰撞绿化植物。</w:t>
      </w:r>
    </w:p>
    <w:p w14:paraId="71830C7A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清理系统：</w:t>
      </w:r>
    </w:p>
    <w:p w14:paraId="0B9DD8A5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机械臂：6 自由度微型机械臂，负载 1kg，最大工作半径 30cm，配备高精度总线舵机，可灵活调整姿态，适配不同位置垃圾抓取。</w:t>
      </w:r>
    </w:p>
    <w:p w14:paraId="05DE8CA7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执行机构：采用 “负压吸附 + 机械抓取” 双模式设计，针对轻小垃圾（纸屑、烟头）采用负压吸附，针对较大垃圾（塑料瓶、果皮）采用机械抓取，清理效率高、无遗漏。</w:t>
      </w:r>
    </w:p>
    <w:p w14:paraId="65845B95">
      <w:pPr>
        <w:tabs>
          <w:tab w:val="left" w:pos="6457"/>
        </w:tabs>
        <w:rPr>
          <w:rFonts w:hint="eastAsia"/>
          <w:lang w:eastAsia="zh-CN"/>
        </w:rPr>
      </w:pPr>
      <w:r>
        <w:drawing>
          <wp:inline distT="0" distB="0" distL="114300" distR="114300">
            <wp:extent cx="1145540" cy="3190875"/>
            <wp:effectExtent l="0" t="0" r="0" b="6985"/>
            <wp:docPr id="4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rcRect r="55247" b="3641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14554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ab/>
      </w:r>
    </w:p>
    <w:p w14:paraId="2949809F">
      <w:pPr>
        <w:tabs>
          <w:tab w:val="left" w:pos="6457"/>
        </w:tabs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图3.3机械臂</w:t>
      </w:r>
    </w:p>
    <w:p w14:paraId="26E01F44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垃圾存储：内置 5L 密封垃圾盒，可拆卸设计，便于垃圾倾倒与清洁，配备满溢传感器，垃圾满溢时自动报警并前往指定地点。</w:t>
      </w:r>
    </w:p>
    <w:p w14:paraId="289D655F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供电系统：</w:t>
      </w:r>
    </w:p>
    <w:p w14:paraId="34C5B57B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电池：7.4V 2200mAh 高性能锂电池，支持过充、过流、过放、短路四重保护，循环寿命≥1000 次，续航能力强。</w:t>
      </w:r>
    </w:p>
    <w:p w14:paraId="47689DE3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充电器：8.4V 2A 专用充电器，1 小时快速充满，支持充电状态显示（红灯充电中，绿灯充满），适配野外应急充电场景。</w:t>
      </w:r>
    </w:p>
    <w:p w14:paraId="1104F65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（三）核心技术方案</w:t>
      </w:r>
    </w:p>
    <w:p w14:paraId="6309927A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自主导航与路径规划技术：</w:t>
      </w:r>
    </w:p>
    <w:p w14:paraId="0316B384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建图技术：采用 slam_toolbox 算法，支持同步 / 异步建图模式，可快速构建绿化区域二维地图，地图精度≤0.1m，支持多地图保存与切换，适配不同绿化场景。</w:t>
      </w:r>
    </w:p>
    <w:p w14:paraId="7DD0D344">
      <w:r>
        <w:drawing>
          <wp:inline distT="0" distB="0" distL="114300" distR="114300">
            <wp:extent cx="5270500" cy="2850515"/>
            <wp:effectExtent l="0" t="0" r="6350" b="698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5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4ED38">
      <w:pPr>
        <w:numPr>
          <w:ilvl w:val="0"/>
          <w:numId w:val="0"/>
        </w:numPr>
        <w:bidi w:val="0"/>
        <w:ind w:left="0" w:leftChars="0" w:firstLine="480" w:firstLineChars="20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图3.4激光雷达建图过程</w:t>
      </w:r>
    </w:p>
    <w:p w14:paraId="58387053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导航技术：基于 ROS2 Navigation2 框架，融合 A*、D* Lite 等路径规划算法，支持单点导航、多点导航、断点续扫功能，可自动规划最优清理路径，避开障碍物与绿化植物，确保全覆盖无遗漏。</w:t>
      </w:r>
    </w:p>
    <w:p w14:paraId="6897FDA9">
      <w:r>
        <w:drawing>
          <wp:inline distT="0" distB="0" distL="114300" distR="114300">
            <wp:extent cx="5273040" cy="2868295"/>
            <wp:effectExtent l="0" t="0" r="3810" b="8255"/>
            <wp:docPr id="2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6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AA0C9">
      <w:pPr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图3.5导航</w:t>
      </w:r>
    </w:p>
    <w:p w14:paraId="77BB561F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定位技术：采用 “激光雷达 + IMU + 视觉” 多源融合定位方案，定位精度≤0.1m，即使在遮挡严重的灌木丛场景下，仍能保持稳定定位。</w:t>
      </w:r>
    </w:p>
    <w:p w14:paraId="5FC1C020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垃圾识别与分类技术：</w:t>
      </w:r>
    </w:p>
    <w:p w14:paraId="5777417E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识别算法：基于 YOLOv8 深度学习算法，通过大量垃圾与绿化植物样本训练，实现垃圾类型精准识别（准确率≥95%），可区分纸屑、塑料、金属、果皮、落叶等常见垃圾，同时精准区分垃圾与绿化植物，避免误清理。</w:t>
      </w:r>
    </w:p>
    <w:p w14:paraId="783B85CA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优化方案：针对复杂光照条件（强光、阴影）、不同垃圾形态（破碎、堆叠）进行算法优化，提升识别鲁棒性；支持在线学习，可通过数据积累持续优化识别模型。</w:t>
      </w:r>
    </w:p>
    <w:p w14:paraId="03CBB4ED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全地形适配与避障技术：</w:t>
      </w:r>
    </w:p>
    <w:p w14:paraId="4FDEE4A3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底盘自适应技术：基于 IMU 姿态数据与激光雷达地形检测数据，自动调整底盘高度与电机输出功率，适配坡地、碎石地、泥泞地等复杂地形，确保行驶稳定。</w:t>
      </w:r>
    </w:p>
    <w:p w14:paraId="64B87CCC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-201930</wp:posOffset>
            </wp:positionH>
            <wp:positionV relativeFrom="paragraph">
              <wp:posOffset>800100</wp:posOffset>
            </wp:positionV>
            <wp:extent cx="2383790" cy="2052320"/>
            <wp:effectExtent l="0" t="0" r="6985" b="5080"/>
            <wp:wrapTopAndBottom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205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2512060</wp:posOffset>
            </wp:positionH>
            <wp:positionV relativeFrom="paragraph">
              <wp:posOffset>881380</wp:posOffset>
            </wp:positionV>
            <wp:extent cx="2274570" cy="2035175"/>
            <wp:effectExtent l="0" t="0" r="1905" b="3175"/>
            <wp:wrapTopAndBottom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74570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避障技术：激光雷达 360° 全向避障，超声波传感器辅助近距离避障，融合多传感器数据实现障碍物精准定位与分类（静态 / 动态），针对不同障碍物采用绕行、停止等差异化避障策略，避免碰撞绿化植物与行人。</w:t>
      </w:r>
    </w:p>
    <w:p w14:paraId="63D4F970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1DBB8507">
      <w:pPr>
        <w:numPr>
          <w:ilvl w:val="0"/>
          <w:numId w:val="0"/>
        </w:numPr>
        <w:bidi w:val="0"/>
        <w:ind w:left="0" w:leftChars="0" w:firstLine="480" w:firstLineChars="200"/>
        <w:jc w:val="center"/>
        <w:rPr>
          <w:rFonts w:hint="default" w:eastAsia="宋体" w:asciiTheme="minorAscii" w:hAnsiTheme="minorAscii"/>
          <w:sz w:val="24"/>
          <w:lang w:val="en-US" w:eastAsia="zh-C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2861945</wp:posOffset>
            </wp:positionH>
            <wp:positionV relativeFrom="paragraph">
              <wp:posOffset>207645</wp:posOffset>
            </wp:positionV>
            <wp:extent cx="2274570" cy="2035175"/>
            <wp:effectExtent l="0" t="0" r="1905" b="3175"/>
            <wp:wrapTopAndBottom/>
            <wp:docPr id="4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74570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147955</wp:posOffset>
            </wp:positionH>
            <wp:positionV relativeFrom="paragraph">
              <wp:posOffset>126365</wp:posOffset>
            </wp:positionV>
            <wp:extent cx="2383790" cy="2052320"/>
            <wp:effectExtent l="0" t="0" r="6985" b="5080"/>
            <wp:wrapTopAndBottom/>
            <wp:docPr id="4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83790" cy="205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16"/>
          <w:lang w:val="en-US" w:eastAsia="zh-CN" w:bidi="ar"/>
        </w:rPr>
        <w:t>图3.</w:t>
      </w:r>
      <w:r>
        <w:rPr>
          <w:rFonts w:hint="eastAsia" w:ascii="宋体" w:hAnsi="宋体" w:cs="宋体"/>
          <w:b w:val="0"/>
          <w:bCs w:val="0"/>
          <w:kern w:val="0"/>
          <w:sz w:val="24"/>
          <w:szCs w:val="16"/>
          <w:lang w:val="en-US" w:eastAsia="zh-CN" w:bidi="ar"/>
        </w:rPr>
        <w:t>6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16"/>
          <w:lang w:val="en-US" w:eastAsia="zh-CN" w:bidi="ar"/>
        </w:rPr>
        <w:t xml:space="preserve"> 激光雷达</w:t>
      </w:r>
    </w:p>
    <w:p w14:paraId="61025AD8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</w:p>
    <w:p w14:paraId="5A6CBAA3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远程控制与智能运维技术：</w:t>
      </w:r>
    </w:p>
    <w:p w14:paraId="538C90B6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控制模式：支持手机 APP（WonderPi）、无线手柄、远程桌面三种控制模式，方便用户根据场景灵活选择，APP 支持实时查看设备状态、作业进度、垃圾容量等数据，可远程下达作业指令与故障排查。</w:t>
      </w:r>
    </w:p>
    <w:p w14:paraId="72BD1DE8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智能运维：内置故障诊断系统，可实时监测电池电压、电机状态、传感器数据等，出现异常时自动报警并上传故障信息；支持远程固件升级与算法迭代，无需现场操作即可完成设备优化。</w:t>
      </w:r>
    </w:p>
    <w:p w14:paraId="4B3EBDE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（四）技术创新点</w:t>
      </w:r>
    </w:p>
    <w:p w14:paraId="3DE57809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多形态底盘快速切换技术：创新设计底盘快拆结构，麦轮、阿克曼、履带三种底盘可在 5 分钟内完成切换，无需专业工具，适配不同绿化场景，解决传统设备场景适配单一的问题。</w:t>
      </w:r>
    </w:p>
    <w:p w14:paraId="0E567513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垃圾 - 植物精准区分算法：基于深度视觉与深度学习的融合方案，通过提取垃圾与绿化植物的纹理、形态、颜色等多维度特征，实现 95% 以上的识别准确率，避免误清理绿化植物，解决行业内普遍存在的 “识别精度低” 痛点。</w:t>
      </w:r>
    </w:p>
    <w:p w14:paraId="641AEB6B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轻量化高效清理机构：采用 “负压吸附 + 机械抓取” 双模式设计，微型机械臂与负压装置协同工作，兼顾清理效率与设备轻量化，机械臂负载 1kg 仅重 1.2kg，远低于同类产品，设备整体重量控制在 15kg 以内，便于搬运与操作。</w:t>
      </w:r>
    </w:p>
    <w:p w14:paraId="69AE75F3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低功耗智能调度技术：优化 ROS2 系统任务调度机制，采用动态功耗管理策略，在无垃圾区域自动降低行驶速度与传感器采样频率，在垃圾密集区域提升作业效率，相比同类产品功耗降低 30% 以上，续航能力显著提升。</w:t>
      </w:r>
    </w:p>
    <w:p w14:paraId="270B61DB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多源融合定位导航技术：融合激光雷达、IMU、视觉定位数据，解决单一传感器在遮挡、复杂地形下定位不准的问题，定位精度达 0.1m，确保设备在各类绿化场景下稳定导航与作业。</w:t>
      </w:r>
    </w:p>
    <w:p w14:paraId="7C0508A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四、商业模式</w:t>
      </w:r>
    </w:p>
    <w:p w14:paraId="6D1B526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（一）盈利模式</w:t>
      </w:r>
    </w:p>
    <w:p w14:paraId="0FF17264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设备销售：核心盈利模式之一，面向政府、大型物业、园林养护公司等客户批量销售标准化产品，根据配置不同定价 3-5 万元 / 台，毛利率控制在 45-50%。</w:t>
      </w:r>
    </w:p>
    <w:p w14:paraId="46AA0679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基础版（麦轮底盘 + 单目相机）：3 万元 / 台，满足普通平坦绿化带清理需求；</w:t>
      </w:r>
    </w:p>
    <w:p w14:paraId="10CD8F38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标准版（多形态底盘 + 深度相机）：4 万元 / 台，适配多种复杂场景；</w:t>
      </w:r>
    </w:p>
    <w:p w14:paraId="499DCBC9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豪华版（定制化功能 + 长效续航电池）：5 万元 / 台，针对高端客户定制化需求。</w:t>
      </w:r>
    </w:p>
    <w:p w14:paraId="4D7F9E98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租赁服务：针对短期项目客户、中小客户推出租赁服务，降低客户初始投入门槛，月租金 2000-3000 元 / 台，年租金 1.8-2.5 万元 / 台，毛利率≥60%。</w:t>
      </w:r>
    </w:p>
    <w:p w14:paraId="55674879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短期租赁：按天（200 元 / 天）、按月（2000 元 / 月）租赁，适用于临时活动、短期项目；</w:t>
      </w:r>
    </w:p>
    <w:p w14:paraId="25921013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长期租赁：按年租赁（1.8 万元 / 年），提供免费维护与算法升级，适用于中小物业、小型园林公司。</w:t>
      </w:r>
    </w:p>
    <w:p w14:paraId="047065B9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运维服务：为采购与租赁客户提供增值运维服务，年服务费为设备售价的 10-15%，毛利率≥70%。</w:t>
      </w:r>
    </w:p>
    <w:p w14:paraId="5A9BF5E2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基础服务：设备维修、保养、耗材更换（垃圾盒、滤网等）；</w:t>
      </w:r>
    </w:p>
    <w:p w14:paraId="1F15933A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增值服务：算法迭代升级、功能扩展、数据统计分析与清洁方案优化。</w:t>
      </w:r>
    </w:p>
    <w:p w14:paraId="45ED5625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数据服务：通过设备作业数据积累（如垃圾分布、清洁频率、设备运行状态等），为政府、物业等客户提供绿化养护优化方案，按项目收费 5-10 万元 / 个，逐步拓展数据增值收入。</w:t>
      </w:r>
    </w:p>
    <w:p w14:paraId="027FBDA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（二）销售渠道策略</w:t>
      </w:r>
    </w:p>
    <w:p w14:paraId="72849C28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直销渠道：</w:t>
      </w:r>
    </w:p>
    <w:p w14:paraId="4EDCCC75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组建专业销售团队，重点对接城市管理局、园林绿化局、环卫集团、大型物业企业等大客户，提供定制化解决方案与一对一服务；</w:t>
      </w:r>
    </w:p>
    <w:p w14:paraId="62E5FA44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参与各地政府环卫设备采购招标、市政工程招投标，扩大政府端市场份额；</w:t>
      </w:r>
    </w:p>
    <w:p w14:paraId="15512318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建立大客户档案，定期回访，提供个性化服务，提升客户忠诚度。</w:t>
      </w:r>
    </w:p>
    <w:p w14:paraId="6C7B8DF0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渠道合作：</w:t>
      </w:r>
    </w:p>
    <w:p w14:paraId="7C2FAFD9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与园林养护公司、市政工程承包商、环卫设备经销商建立合作，发展区域代理商与经销商，拓展下沉市场与专业端客户；</w:t>
      </w:r>
    </w:p>
    <w:p w14:paraId="08A9CBF2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与物业公司、商业综合体运营方建立战略合作伙伴关系，批量推广设备租赁与采购服务；</w:t>
      </w:r>
    </w:p>
    <w:p w14:paraId="29B7BFB0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制定渠道激励政策，包括销售返利、推广补贴、培训支持等，调动渠道积极性。</w:t>
      </w:r>
    </w:p>
    <w:p w14:paraId="70C556AC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线上推广：</w:t>
      </w:r>
    </w:p>
    <w:p w14:paraId="0BFF1BAE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搭建官方网站、微信公众号、视频号等线上平台，展示产品功能、案例视频、客户评价等，提升品牌知名度；</w:t>
      </w:r>
    </w:p>
    <w:p w14:paraId="463FB66F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在行业垂直平台（如中国环卫网、园林养护网）、短视频平台（抖音、快手）投放广告，精准触达目标客户；</w:t>
      </w:r>
    </w:p>
    <w:p w14:paraId="270DB9F2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开展线上直播演示、产品试用预约等活动，吸引潜在客户咨询与采购。</w:t>
      </w:r>
    </w:p>
    <w:p w14:paraId="1C7B2193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线下推广：</w:t>
      </w:r>
    </w:p>
    <w:p w14:paraId="5F83C298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参加行业展会（如中国国际环卫与市政设施展览会、园林绿化产业博览会），展示产品原型，与客户面对面交流；</w:t>
      </w:r>
    </w:p>
    <w:p w14:paraId="73016A88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在试点城市举办产品发布会、现场演示会，邀请当地政府部门、企业客户参与，增强产品认可度；</w:t>
      </w:r>
    </w:p>
    <w:p w14:paraId="3B3DB5A9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制作产品宣传册、案例手册等物料，发放给潜在客户，扩大品牌影响力。</w:t>
      </w:r>
    </w:p>
    <w:p w14:paraId="6D6DC5F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（三）定价策略</w:t>
      </w:r>
    </w:p>
    <w:p w14:paraId="21D16C2C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产品定价：基于成本加成法，结合市场竞争情况与客户需求分层定价，确保产品性价比优势的同时保障合理利润。</w:t>
      </w:r>
    </w:p>
    <w:p w14:paraId="757A4464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批量采购优惠：单次采购 10 台以上享 9 折优惠，50 台以上享 8.5 折优惠，100 台以上享 8 折优惠；</w:t>
      </w:r>
    </w:p>
    <w:p w14:paraId="10027A39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长期合作优惠：与客户签订 3 年以上合作协议，采购价格可下浮 5-10%。</w:t>
      </w:r>
    </w:p>
    <w:p w14:paraId="7792D49C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租赁定价：参考设备折旧、运营成本、市场需求制定灵活定价，兼顾短期收益与客户吸引力。</w:t>
      </w:r>
    </w:p>
    <w:p w14:paraId="6E589017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长租优惠：租赁期限 1 年以上享月租金 8 折优惠，2 年以上享 7 折优惠；</w:t>
      </w:r>
    </w:p>
    <w:p w14:paraId="51083636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套餐优惠：推出 “设备租赁 + 运维服务” 套餐，年套餐价格 2 万元，包含设备租赁、全年维护、2 次算法升级。</w:t>
      </w:r>
    </w:p>
    <w:p w14:paraId="669A43D0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服务定价：根据服务类型与复杂度定价，基础服务以保障设备正常运行为主，增值服务突出个性化与专业性。</w:t>
      </w:r>
    </w:p>
    <w:p w14:paraId="08EB74AA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基础运维服务：年服务费 3000-5000 元 / 台（设备售价的 10%）；</w:t>
      </w:r>
    </w:p>
    <w:p w14:paraId="2C15B575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增值运维服务：年服务费 5000-7500 元 / 台（设备售价的 15%）；</w:t>
      </w:r>
    </w:p>
    <w:p w14:paraId="07FC432E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定制化数据服务：按项目复杂度收费 5-10 万元 / 个。</w:t>
      </w:r>
    </w:p>
    <w:p w14:paraId="3FA8432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五、运营计划</w:t>
      </w:r>
    </w:p>
    <w:p w14:paraId="1F708FB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（一）生产运营</w:t>
      </w:r>
    </w:p>
    <w:p w14:paraId="432A1D32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生产模式：采用 “核心部件自主组装 + 非核心部件外包生产” 的轻资产生产模式，降低生产场地与设备投入，提高生产灵活性。</w:t>
      </w:r>
    </w:p>
    <w:p w14:paraId="7AF406ED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核心部件（树莓派主控、激光雷达、深度相机、机械臂等）：与幻尔科技、大疆创新等成熟供应商建立长期合作，批量采购确保质量与供货稳定；</w:t>
      </w:r>
    </w:p>
    <w:p w14:paraId="5A9019C2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非核心部件（外壳、垃圾盒、连接件等）：选择 2-3 家本地优质制造商外包生产，降低物流成本与生产周期；</w:t>
      </w:r>
    </w:p>
    <w:p w14:paraId="749B8E10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组装测试：自建组装生产线（初期 2 条，年产能 500-1000 台），完成核心部件与非核心部件的组装、调试与质量检测。</w:t>
      </w:r>
    </w:p>
    <w:p w14:paraId="46AEEF3B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供应链管理：</w:t>
      </w:r>
    </w:p>
    <w:p w14:paraId="65C98173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供应商管理：建立供应商评估体系，从产品质量、价格、交货周期、售后服务等维度进行考核，选择优质供应商建立长期合作关系，签订框架协议保障供货稳定性；</w:t>
      </w:r>
    </w:p>
    <w:p w14:paraId="1F9EEC5E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库存管理：采用 “以销定产 + 安全库存” 模式，核心部件保持 1-2 个月的安全库存，非核心部件按需采购，降低库存积压与资金占用；</w:t>
      </w:r>
    </w:p>
    <w:p w14:paraId="734F0C04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物流管理：与顺丰、京东物流等建立合作，确保设备与配件快速配送，国内客户订单 48 小时内发货，偏远地区 72 小时内发货。</w:t>
      </w:r>
    </w:p>
    <w:p w14:paraId="54852B97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质量控制：</w:t>
      </w:r>
    </w:p>
    <w:p w14:paraId="4A7B85CA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建立全流程质量检测体系，涵盖零部件采购检验、组装过程检验、成品出厂检验三个环节；</w:t>
      </w:r>
    </w:p>
    <w:p w14:paraId="3CBBF213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零部件采购检验：对每批次采购的核心部件进行性能测试，非核心部件进行外观与尺寸检验，不合格产品坚决退回；</w:t>
      </w:r>
    </w:p>
    <w:p w14:paraId="2A540BED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组装过程检验：设置 3 个关键检验节点（硬件集成、软件调试、功能测试），每个节点由专人负责，确保组装质量；</w:t>
      </w:r>
    </w:p>
    <w:p w14:paraId="353DCB20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成品出厂检验：对每台成品进行 24 小时连续运行测试，检测导航精度、垃圾识别准确率、续航能力、避障性能等核心指标，合格率达到 99% 以上方可出厂。</w:t>
      </w:r>
    </w:p>
    <w:p w14:paraId="575C2BC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（二）团队建设</w:t>
      </w:r>
    </w:p>
    <w:p w14:paraId="7D8F5412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核心团队架构：初期团队规模 20-30 人，涵盖研发、生产、销售、运营、售后五大核心部门，随着项目发展逐步扩大团队规模。</w:t>
      </w:r>
    </w:p>
    <w:p w14:paraId="25B8F0B0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研发部（8-10 人）：分为硬件研发、软件研发、算法研发 3 个小组，负责产品硬件设计、软件开发、算法优化与技术创新；</w:t>
      </w:r>
    </w:p>
    <w:p w14:paraId="27965A04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生产部（5-6 人）：负责产品组装、调试、质量检测与生产管理；</w:t>
      </w:r>
    </w:p>
    <w:p w14:paraId="2E389335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销售部（4-5 人）：负责客户开发、渠道拓展、产品销售与客户关系维护；</w:t>
      </w:r>
    </w:p>
    <w:p w14:paraId="43A4383F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运营部（2-3 人）：负责品牌推广、市场策划、线上运营与数据统计分析；</w:t>
      </w:r>
    </w:p>
    <w:p w14:paraId="64045576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售后部（3-4 人）：负责客户咨询、设备安装调试、维修保养与技术支持。</w:t>
      </w:r>
    </w:p>
    <w:p w14:paraId="31DF0615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人才招聘与培养：</w:t>
      </w:r>
    </w:p>
    <w:p w14:paraId="46BC1E08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招聘策略：重点招聘机器人研发、人工智能、机械设计、市场营销等领域的专业人才，优先选择有环卫设备、机器人行业经验的候选人；</w:t>
      </w:r>
    </w:p>
    <w:p w14:paraId="38E7FB9C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人才培养：与高校自动化、机器人、环境工程等相关专业建立产学研合作关系，设立实习基地，储备技术人才；建立内部培训体系，定期开展技术培训、销售技巧培训、售后服务培训，提升团队专业能力；</w:t>
      </w:r>
    </w:p>
    <w:p w14:paraId="4BC4275A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激励机制：建立富有竞争力的薪酬体系，包括基本工资、绩效奖金、销售提成、研发奖励等；实施股权激励计划，对核心员工授予股权，绑定个人与项目利益，提升团队凝聚力与稳定性。</w:t>
      </w:r>
    </w:p>
    <w:p w14:paraId="710AE72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（三）客户服务</w:t>
      </w:r>
    </w:p>
    <w:p w14:paraId="39E08AB8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售前服务：</w:t>
      </w:r>
    </w:p>
    <w:p w14:paraId="52BAE178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为客户提供免费场景调研，根据客户绿化区域面积、地形特征、垃圾类型等制定个性化解决方案；</w:t>
      </w:r>
    </w:p>
    <w:p w14:paraId="396298CE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提供产品演示与试用服务，邀请客户实地体验设备作业效果，解答客户疑问；</w:t>
      </w:r>
    </w:p>
    <w:p w14:paraId="7F5DD59A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为客户提供技术咨询，详细介绍产品功能、参数、使用方法与售后服务，帮助客户做出决策。</w:t>
      </w:r>
    </w:p>
    <w:p w14:paraId="61986BC5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售中服务：</w:t>
      </w:r>
    </w:p>
    <w:p w14:paraId="3A92164B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设备交付时提供免费安装调试服务，确保设备正常运行；</w:t>
      </w:r>
    </w:p>
    <w:p w14:paraId="3623235F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为客户提供操作培训，包括设备启动、控制模式切换、垃圾倾倒、简单故障排查等，确保客户能够熟练操作；</w:t>
      </w:r>
    </w:p>
    <w:p w14:paraId="3082FCD7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建立客户档案，记录客户设备型号、采购 / 租赁时间、安装调试情况等信息，便于后续跟踪服务。</w:t>
      </w:r>
    </w:p>
    <w:p w14:paraId="78885610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售后服务：</w:t>
      </w:r>
    </w:p>
    <w:p w14:paraId="72DB20AF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建立 48 小时快速响应机制，客户反馈问题后，售后人员 1 小时内响应，远程可解决的问题 2 小时内处理完毕，需现场维修的 48 小时内到达现场（一线城市 24 小时内）；</w:t>
      </w:r>
    </w:p>
    <w:p w14:paraId="40B317AE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提供 1 年免费保修服务（核心部件如主控板、激光雷达保修 2 年），保修期内非人为损坏的零部件免费更换；</w:t>
      </w:r>
    </w:p>
    <w:p w14:paraId="51803E33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定期回访客户，每 3 个月进行一次设备巡检，了解设备运行状态与客户需求，提供维护建议与技术支持；</w:t>
      </w:r>
    </w:p>
    <w:p w14:paraId="5EE3CF2E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开通售后服务热线、微信客服、在线咨询等多渠道服务入口，方便客户随时反馈问题。</w:t>
      </w:r>
    </w:p>
    <w:p w14:paraId="74F4171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六、财务预测</w:t>
      </w:r>
    </w:p>
    <w:p w14:paraId="66A593E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（一）初期投入预算（1-2 年）</w:t>
      </w:r>
    </w:p>
    <w:p w14:paraId="27949A4E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初期总投入预计 2000-2500 万元，主要包括研发投入、生产投入、市场与运营投入、流动资金四部分：</w:t>
      </w:r>
    </w:p>
    <w:p w14:paraId="2EF7FC95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研发投入：800-1000 万元</w:t>
      </w:r>
    </w:p>
    <w:p w14:paraId="29E4D000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硬件研发：300-350 万元（含原型机制作、核心部件采购、模具开发）；</w:t>
      </w:r>
    </w:p>
    <w:p w14:paraId="4F2725C9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软件与算法研发：400-450 万元（含人员薪酬、技术咨询、数据标注）；</w:t>
      </w:r>
    </w:p>
    <w:p w14:paraId="11B4BD3B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测试与认证：100-200 万元（含产品测试、专利申请、资质认证）。</w:t>
      </w:r>
    </w:p>
    <w:p w14:paraId="75182A84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生产投入：500-600 万元</w:t>
      </w:r>
    </w:p>
    <w:p w14:paraId="4C68839E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生产线建设：200-250 万元（含生产设备、场地租赁与装修）；</w:t>
      </w:r>
    </w:p>
    <w:p w14:paraId="00A853B2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首批零部件采购：250-300 万元（核心部件 + 非核心部件）；</w:t>
      </w:r>
    </w:p>
    <w:p w14:paraId="1468296C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质量控制体系建设：50-50 万元（检测设备、质量管理制度建设）。</w:t>
      </w:r>
    </w:p>
    <w:p w14:paraId="57D0F7BE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市场与运营投入：300-400 万元</w:t>
      </w:r>
    </w:p>
    <w:p w14:paraId="7E46E424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团队建设：150-200 万元（人员薪酬、福利、培训）；</w:t>
      </w:r>
    </w:p>
    <w:p w14:paraId="68B354A5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市场推广：100-150 万元（展会参展、广告投放、线上运营、物料制作）；</w:t>
      </w:r>
    </w:p>
    <w:p w14:paraId="70D0FAA9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试点项目落地：50-50 万元（试点设备免费试用、客户补贴）。</w:t>
      </w:r>
    </w:p>
    <w:p w14:paraId="45055E47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流动资金：400-500 万元</w:t>
      </w:r>
    </w:p>
    <w:p w14:paraId="38005017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用于覆盖日常运营成本、原材料采购、应收账款周转等，保障项目顺利推进。</w:t>
      </w:r>
    </w:p>
    <w:p w14:paraId="1FAD3AA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（二）收入预测（未来 3 年）</w:t>
      </w:r>
    </w:p>
    <w:p w14:paraId="4A3070AD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第一年（试产推广期，第 1-12 个月）：</w:t>
      </w:r>
    </w:p>
    <w:p w14:paraId="214959ED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生产规模：300 台（其中销售 200 台，租赁 100 台）；</w:t>
      </w:r>
    </w:p>
    <w:p w14:paraId="39CC985E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收入构成：</w:t>
      </w:r>
    </w:p>
    <w:p w14:paraId="1064F38D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设备销售收入：200 台 ×4 万元 / 台 = 800 万元；</w:t>
      </w:r>
    </w:p>
    <w:p w14:paraId="4859F68A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租赁服务收入：100 台 ×2 万元 / 台・年 = 200 万元；</w:t>
      </w:r>
    </w:p>
    <w:p w14:paraId="0DA1F08A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运维服务收入：300 台 ×0.4 万元 / 台・年 = 120 万元；</w:t>
      </w:r>
    </w:p>
    <w:p w14:paraId="4475774A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年总收入：1120 万元。</w:t>
      </w:r>
    </w:p>
    <w:p w14:paraId="663FE162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第二年（规模化推广期，第 13-24 个月）：</w:t>
      </w:r>
    </w:p>
    <w:p w14:paraId="3C2A3884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生产规模：800 台（其中销售 500 台，租赁 300 台）；</w:t>
      </w:r>
    </w:p>
    <w:p w14:paraId="4FFC7B35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收入构成：</w:t>
      </w:r>
    </w:p>
    <w:p w14:paraId="2F231A84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设备销售收入：500 台 ×3.8 万元 / 台 = 1900 万元（批量采购优惠导致单价下降）；</w:t>
      </w:r>
    </w:p>
    <w:p w14:paraId="5F8A5CF3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租赁服务收入：300 台 ×1.8 万元 / 台・年 = 540 万元；</w:t>
      </w:r>
    </w:p>
    <w:p w14:paraId="7370423A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运维服务收入：800 台 ×0.4 万元 / 台・年 = 320 万元；</w:t>
      </w:r>
    </w:p>
    <w:p w14:paraId="1D16C6DA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数据服务收入：5 个项目 ×8 万元 / 个 = 40 万元；</w:t>
      </w:r>
    </w:p>
    <w:p w14:paraId="7EE1AF96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年总收入：2800 万元。</w:t>
      </w:r>
    </w:p>
    <w:p w14:paraId="53921314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第三年（市场拓展期，第 25-36 个月）：</w:t>
      </w:r>
    </w:p>
    <w:p w14:paraId="4CC2A880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生产规模：1500 台（其中销售 1000 台，租赁 500 台）；</w:t>
      </w:r>
    </w:p>
    <w:p w14:paraId="224FAEBC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收入构成：</w:t>
      </w:r>
    </w:p>
    <w:p w14:paraId="25496F30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设备销售收入：1000 台 ×3.5 万元 / 台 = 3500 万元；</w:t>
      </w:r>
    </w:p>
    <w:p w14:paraId="76D9E10D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租赁服务收入：500 台 ×1.6 万元 / 台・年 = 800 万元；</w:t>
      </w:r>
    </w:p>
    <w:p w14:paraId="2115C487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运维服务收入：1500 台 ×0.4 万元 / 台・年 = 600 万元；</w:t>
      </w:r>
    </w:p>
    <w:p w14:paraId="1EDB464E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数据服务收入：15 个项目 ×8 万元 / 个 = 120 万元；</w:t>
      </w:r>
    </w:p>
    <w:p w14:paraId="50E89B07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年总收入：5020 万元。</w:t>
      </w:r>
    </w:p>
    <w:p w14:paraId="7E8BCF6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（三）成本结构预测（未来 3 年）</w:t>
      </w:r>
    </w:p>
    <w:p w14:paraId="15945759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生产成本：占营业收入的 40-45%</w:t>
      </w:r>
    </w:p>
    <w:p w14:paraId="674F0E95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第一年：1120 万元 ×45%=504 万元；</w:t>
      </w:r>
    </w:p>
    <w:p w14:paraId="04E39989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第二年：2800 万元 ×43%=1204 万元；</w:t>
      </w:r>
    </w:p>
    <w:p w14:paraId="1E0C1A4B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第三年：5020 万元 ×40%=2008 万元。</w:t>
      </w:r>
    </w:p>
    <w:p w14:paraId="5782F002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销售与运营成本：占营业收入的 20-25%</w:t>
      </w:r>
    </w:p>
    <w:p w14:paraId="53FA403C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第一年：1120 万元 ×25%=280 万元；</w:t>
      </w:r>
    </w:p>
    <w:p w14:paraId="1A944C3E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第二年：2800 万元 ×23%=644 万元；</w:t>
      </w:r>
    </w:p>
    <w:p w14:paraId="21FBA22D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第三年：5020 万元 ×20%=1004 万元。</w:t>
      </w:r>
    </w:p>
    <w:p w14:paraId="31FACC76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研发持续投入：占营业收入的 10-15%</w:t>
      </w:r>
    </w:p>
    <w:p w14:paraId="4E2A61C2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第一年：1120 万元 ×15%=168 万元；</w:t>
      </w:r>
    </w:p>
    <w:p w14:paraId="77A3F500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第二年：2800 万元 ×13%=364 万元；</w:t>
      </w:r>
    </w:p>
    <w:p w14:paraId="72FC82BC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第三年：5020 万元 ×10%=502 万元。</w:t>
      </w:r>
    </w:p>
    <w:p w14:paraId="1C65ACB4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其他成本：占营业收入的 5-8%（含管理费用、财务费用、税费等）</w:t>
      </w:r>
    </w:p>
    <w:p w14:paraId="55E37388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第一年：1120 万元 ×8%=89.6 万元；</w:t>
      </w:r>
    </w:p>
    <w:p w14:paraId="38E3678B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第二年：2800 万元 ×7%=196 万元；</w:t>
      </w:r>
    </w:p>
    <w:p w14:paraId="427E7A65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第三年：5020 万元 ×5%=251 万元。</w:t>
      </w:r>
    </w:p>
    <w:p w14:paraId="4924A5F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（四）利润预测（未来 3 年）</w:t>
      </w:r>
    </w:p>
    <w:p w14:paraId="5C0CFDAE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第一年：</w:t>
      </w:r>
    </w:p>
    <w:p w14:paraId="273E4182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毛利润：营业收入 - 生产成本 = 1120-504=616 万元；</w:t>
      </w:r>
    </w:p>
    <w:p w14:paraId="395344BF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净利润：毛利润 - 销售与运营成本 - 研发投入 - 其他成本 = 616-280-168-89.6=-121.6 万元（亏损，主要因初期投入大、规模效应未显现）。</w:t>
      </w:r>
    </w:p>
    <w:p w14:paraId="135D795F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第二年：</w:t>
      </w:r>
    </w:p>
    <w:p w14:paraId="1D54C255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毛利润：2800-1204=1596 万元；</w:t>
      </w:r>
    </w:p>
    <w:p w14:paraId="5666EF04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净利润：1596-644-364-196=392 万元（实现盈利，净利率 14%）。</w:t>
      </w:r>
    </w:p>
    <w:p w14:paraId="027A6F72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第三年：</w:t>
      </w:r>
    </w:p>
    <w:p w14:paraId="2781281B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毛利润：5020-2008=3012 万元；</w:t>
      </w:r>
    </w:p>
    <w:p w14:paraId="4F30CF19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净利润：3012-1004-502-251=1255 万元（净利率 25%，盈利能力显著提升）。</w:t>
      </w:r>
    </w:p>
    <w:p w14:paraId="771503CB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（五）财务指标分析</w:t>
      </w:r>
    </w:p>
    <w:p w14:paraId="10BC616E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投资回收期：预计 3.5 年（含初期投入期 1 年），投资回报率（ROI）长期稳定在 25-30%。</w:t>
      </w:r>
    </w:p>
    <w:p w14:paraId="1BF2B4D2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毛利率：长期保持在 55-60%，高于行业平均水平（40-45%），体现产品技术与性价比优势。</w:t>
      </w:r>
    </w:p>
    <w:p w14:paraId="2F8F1A06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净利率：从第二年开始实现盈利，第三年净利率达 25%，随着规模效应扩大与成本优化，净利率将持续提升。</w:t>
      </w:r>
    </w:p>
    <w:p w14:paraId="09B75F1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七、风险分析与应对</w:t>
      </w:r>
    </w:p>
    <w:p w14:paraId="3E54452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（一）技术风险</w:t>
      </w:r>
    </w:p>
    <w:p w14:paraId="5BFB2B59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风险描述：核心技术（如垃圾识别算法、全地形导航）未达预期，导致产品作业效率、稳定性不足；技术迭代速度快，产品面临被淘汰风险；核心技术专利侵权或被模仿。</w:t>
      </w:r>
    </w:p>
    <w:p w14:paraId="37523884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应对措施：</w:t>
      </w:r>
    </w:p>
    <w:p w14:paraId="5EBA3D12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建立迭代式研发机制，小批量试点后快速收集用户反馈，每 3 个月进行一次算法优化与产品升级，确保技术指标满足市场需求；</w:t>
      </w:r>
    </w:p>
    <w:p w14:paraId="6FE8244D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加大研发投入，组建专业研发团队，与高校、科研机构合作开展技术攻关，保持技术领先性；</w:t>
      </w:r>
    </w:p>
    <w:p w14:paraId="22F4E9DC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提前布局专利保护，申请发明专利、实用新型专利、软件著作权等知识产权，构建专利保护体系；</w:t>
      </w:r>
    </w:p>
    <w:p w14:paraId="534B09FC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建立技术保密制度，与核心研发人员签订保密协议，防止技术泄露。</w:t>
      </w:r>
    </w:p>
    <w:p w14:paraId="72804FF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（二）市场风险</w:t>
      </w:r>
    </w:p>
    <w:p w14:paraId="345C8006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风险描述：市场接受度不及预期，客户仍倾向于人工清理或传统设备；市场竞争加剧，大型企业进入细分市场引发价格战；政策调整导致客户采购预算缩减。</w:t>
      </w:r>
    </w:p>
    <w:p w14:paraId="2525711D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应对措施：</w:t>
      </w:r>
    </w:p>
    <w:p w14:paraId="0541530E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强化试点项目效果展示，通过实际作业数据（效率、成本、质量）对比，直观体现产品优势；推出 “先试用后采购” 模式，降低客户决策门槛；</w:t>
      </w:r>
    </w:p>
    <w:p w14:paraId="39255983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差异化竞争策略，聚焦细分场景，突出产品全地形适配、精准识别等核心优势，避免与大型企业正面价格竞争；</w:t>
      </w:r>
    </w:p>
    <w:p w14:paraId="755FBC4D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密切关注政策动态，及时调整产品与市场策略，拓展多元化客户群体，降低对单一政策或客户的依赖；</w:t>
      </w:r>
    </w:p>
    <w:p w14:paraId="2115C085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加强品牌建设，提升品牌知名度与美誉度，通过优质产品与服务建立客户粘性。</w:t>
      </w:r>
    </w:p>
    <w:p w14:paraId="328BEEC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（三）生产风险</w:t>
      </w:r>
    </w:p>
    <w:p w14:paraId="0291C259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风险描述：核心零部件供应商供货不稳定，导致生产延误；生产工艺不成熟，产品合格率未达预期；原材料价格上涨，导致生产成本超支。</w:t>
      </w:r>
    </w:p>
    <w:p w14:paraId="0C8A9F9B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应对措施：</w:t>
      </w:r>
    </w:p>
    <w:p w14:paraId="7390019A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建立多供应商体系，核心零部件选择 2-3 家备选供应商，签订长期供货协议，保障供货稳定性；</w:t>
      </w:r>
    </w:p>
    <w:p w14:paraId="330BC874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完善生产工艺与质量控制体系，加强员工培训，提高生产熟练度，确保产品合格率≥99%；</w:t>
      </w:r>
    </w:p>
    <w:p w14:paraId="09633A0A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与供应商签订价格锁定协议，规避原材料价格大幅波动风险；优化供应链管理，降低物流与库存成本；</w:t>
      </w:r>
    </w:p>
    <w:p w14:paraId="1910A520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建立生产应急预案，针对供应商延误、设备故障等突发情况制定应对方案，确保生产计划顺利推进。</w:t>
      </w:r>
    </w:p>
    <w:p w14:paraId="3CC5920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（四）运营风险</w:t>
      </w:r>
    </w:p>
    <w:p w14:paraId="321D1E40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风险描述：销售渠道拓展不及预期，市场推广效果不佳；客户服务质量不高，导致客户流失；团队核心人才流失，影响项目推进。</w:t>
      </w:r>
    </w:p>
    <w:p w14:paraId="7B0AF031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应对措施：</w:t>
      </w:r>
    </w:p>
    <w:p w14:paraId="65D72CE0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优化渠道策略，聚焦核心渠道（如政府招标、大型物业合作），加大渠道激励力度，定期评估渠道效果并及时调整；</w:t>
      </w:r>
    </w:p>
    <w:p w14:paraId="63E6CDB9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建立标准化客户服务流程，加强售后团队培训，提高服务响应速度与解决问题能力，客户满意度目标≥95%；</w:t>
      </w:r>
    </w:p>
    <w:p w14:paraId="64168C33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建立完善的人才激励机制，包括薪酬福利、股权激励、职业发展通道等，吸引并留住核心人才；</w:t>
      </w:r>
    </w:p>
    <w:p w14:paraId="707322DE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加强团队文化建设，营造积极向上、团结协作的工作氛围，提升团队凝聚力与稳定性。</w:t>
      </w:r>
    </w:p>
    <w:p w14:paraId="1FC5133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（五）财务风险</w:t>
      </w:r>
    </w:p>
    <w:p w14:paraId="4AFDCC8E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风险描述：初期投入资金不足，导致项目推进受阻；应收账款回收不及时，引发现金流压力；盈利不及预期，影响项目可持续运营。</w:t>
      </w:r>
    </w:p>
    <w:p w14:paraId="16DE1B01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应对措施：</w:t>
      </w:r>
    </w:p>
    <w:p w14:paraId="140F27C5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多渠道筹集资金，包括自有资金、银行贷款、天使投资、政府补贴等，确保初期资金充足；</w:t>
      </w:r>
    </w:p>
    <w:p w14:paraId="3BA9A597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建立严格的应收账款管理制度，对大客户签订分期付款协议，定期跟踪应收账款回收情况，避免坏账风险；</w:t>
      </w:r>
    </w:p>
    <w:p w14:paraId="032C781D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优化成本结构，严格控制各项支出，提高资金使用效率；</w:t>
      </w:r>
    </w:p>
    <w:p w14:paraId="72D1EF87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加强财务预算与监控，定期进行财务分析，及时发现并解决财务问题，确保项目盈利目标实现。</w:t>
      </w:r>
    </w:p>
    <w:p w14:paraId="49A150B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八、发展规划</w:t>
      </w:r>
    </w:p>
    <w:p w14:paraId="5DC9C68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（一）短期目标（1-2 年）</w:t>
      </w:r>
    </w:p>
    <w:p w14:paraId="0BA81B95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产品目标：完成产品规模化生产与市场验证，产品合格率≥99%，核心技术指标（识别准确率、导航精度、续航能力）达到行业领先水平；申请专利 8-10 项，形成完善的知识产权保护体系。</w:t>
      </w:r>
    </w:p>
    <w:p w14:paraId="223E15FE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市场目标：覆盖 15-20 个重点城市，发展政府端客户 20-30 家、商业端客户 50-80 家、专业端客户 30-50 家；实现年销售收入超 2800 万元，盈利 392 万元；市场占有率达到细分领域 5-8%。</w:t>
      </w:r>
    </w:p>
    <w:p w14:paraId="628BCB34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团队目标：团队规模扩大至 50-60 人，核心团队稳定，建立完善的研发、生产、销售、售后体系；与 3-5 所高校建立产学研合作关系，储备技术人才。</w:t>
      </w:r>
    </w:p>
    <w:p w14:paraId="6DBD64D1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运营目标：建立年产能 1000 台的生产线，完善供应链与质量控制体系；搭建覆盖全国的销售与售后服务网络，客户满意度≥95%。</w:t>
      </w:r>
    </w:p>
    <w:p w14:paraId="67C9599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（二）中期目标（3-5 年）</w:t>
      </w:r>
    </w:p>
    <w:p w14:paraId="208A808D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产品目标：推出 2.0、3.0 版本产品，增加垃圾自动分类、远程集群调度、太阳能辅助供电等功能；拓展产品系列，开发针对高空绿化带、大型公园等场景的专用设备；专利数量达到 20-30 项，成为细分领域技术标杆。</w:t>
      </w:r>
    </w:p>
    <w:p w14:paraId="6FA63267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市场目标：覆盖全国 50-60 个城市，发展客户 300-500 家；年销售收入突破 1 亿元，净利润超 2000 万元；市场占有率达到细分领域 20-25%，成为行业龙头企业。</w:t>
      </w:r>
    </w:p>
    <w:p w14:paraId="09F26625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团队目标：团队规模扩大至 100-150 人，打造一支专业、高效、稳定的核心团队；建立企业研究院，专注技术创新与产品升级。</w:t>
      </w:r>
    </w:p>
    <w:p w14:paraId="3D54EE94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运营目标：年产能提升至 3000-5000 台；完善 “设备销售 + 租赁 + 运维 + 数据服务” 的全产业链布局；启动资本化运作，完成 A 轮、B 轮融资，为上市做准备。</w:t>
      </w:r>
    </w:p>
    <w:p w14:paraId="6229E43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（三）长期目标（5 年以上）</w:t>
      </w:r>
    </w:p>
    <w:p w14:paraId="1C2EE8A7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产品目标：成为全球领先的绿化清洁智能设备提供商，产品技术达到国际先进水平；拓展海外市场，产品通过 CE、FCC 等国际认证，适应不同国家与地区的市场需求。</w:t>
      </w:r>
    </w:p>
    <w:p w14:paraId="736B4CE5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市场目标：覆盖全球 20-30 个国家与地区，年销售收入突破 5 亿元，净利润超 1 亿元；全球细分领域市场占有率达到 30% 以上。</w:t>
      </w:r>
    </w:p>
    <w:p w14:paraId="746503ED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产业目标：构建 “智能清洁设备 + 绿化养护服务 + 数据平台” 的生态体系，延伸产业链上下游，开展设备回收、二手交易、养护方案设计等业务；推动行业标准制定，引领行业发展。</w:t>
      </w:r>
    </w:p>
    <w:p w14:paraId="5AF522D2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社会目标：累计替代人工岗位 10000 个以上，有效降低环卫人员劳动强度与安全风险；为全球城市绿化清洁智能化升级提供解决方案，助力打造生态宜居的现代化城市。</w:t>
      </w:r>
    </w:p>
    <w:p w14:paraId="4EECED7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九、结论</w:t>
      </w:r>
    </w:p>
    <w:p w14:paraId="00733627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本项目聚焦城市花坛绿化带垃圾清理的细分场景痛点，依托 LanderPi 成熟硬件平台与 ROS2 智能技术，研发的智能垃圾清理车具有场景适配性强、技术领先、成本可控、性价比高等核心优势。项目市场需求明确，政策支持力度大，市场规模增长潜力巨大；商业模式清晰，盈利模式多元，兼顾短期收益与长期可持续运营；技术方案成熟可行，核心技术经过市场验证，产品竞争力突出；团队配置合理，运营规划科学，风险应对措施完善。</w:t>
      </w:r>
    </w:p>
    <w:p w14:paraId="7B584ECD">
      <w:pPr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项目的实施不仅能带来显著的商业价值，还能有效降低环卫企业人力成本、提升城市绿化清洁效率、减少安全风险，具有重要的社会价值。通过科学的研发、生产与运营规划，项目有望在 3-5 年内成为细分领域龙头企业，实现商业价值与社会价值的双赢，具备良好的投资前景与发展潜力。</w:t>
      </w:r>
    </w:p>
    <w:p w14:paraId="222C18B6">
      <w:pPr>
        <w:rPr>
          <w:rFonts w:hint="default"/>
          <w:lang w:val="en-US" w:eastAsia="zh-CN"/>
        </w:rPr>
      </w:pPr>
    </w:p>
    <w:sectPr>
      <w:footerReference r:id="rId6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7EDDF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2" name="文本框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831B77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8olJwzAgAAYwQAAA4AAABkcnMvZTJvRG9jLnhtbK1US44TMRDdI3EH&#10;y3vSSdC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1dTSgzTqPj5x/fz&#10;z9/nX98IziBQ7cIccQ8OkbF5Zxu0zXAecJh4N6XX6QtGBH7Ie7rIK5pIeLo0m85mY7g4fMMG+NnT&#10;dedDfC+sJsnIqUf9WlnZcRtiFzqEpGzGbqRSbQ2VIXVOr99ejd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P8olJw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3831B77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F10501">
    <w:pPr>
      <w:pStyle w:val="8"/>
      <w:ind w:left="0" w:leftChars="0" w:firstLine="0" w:firstLineChars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E91E83"/>
    <w:rsid w:val="020D03FA"/>
    <w:rsid w:val="03440C2A"/>
    <w:rsid w:val="03D14550"/>
    <w:rsid w:val="06A4782F"/>
    <w:rsid w:val="0B660F86"/>
    <w:rsid w:val="10F41F77"/>
    <w:rsid w:val="1752433D"/>
    <w:rsid w:val="1C972392"/>
    <w:rsid w:val="1D0D5C5B"/>
    <w:rsid w:val="1D8D798A"/>
    <w:rsid w:val="1DE44B16"/>
    <w:rsid w:val="1E89614A"/>
    <w:rsid w:val="1F5275D0"/>
    <w:rsid w:val="2A022BEE"/>
    <w:rsid w:val="2A072D6E"/>
    <w:rsid w:val="2C424529"/>
    <w:rsid w:val="2CB124FD"/>
    <w:rsid w:val="2E201FC6"/>
    <w:rsid w:val="348719F0"/>
    <w:rsid w:val="34E91E83"/>
    <w:rsid w:val="36961ECA"/>
    <w:rsid w:val="372413FB"/>
    <w:rsid w:val="428565FA"/>
    <w:rsid w:val="47912029"/>
    <w:rsid w:val="4E975221"/>
    <w:rsid w:val="51404C2B"/>
    <w:rsid w:val="51B51175"/>
    <w:rsid w:val="51B82A14"/>
    <w:rsid w:val="566421A1"/>
    <w:rsid w:val="5B815E5A"/>
    <w:rsid w:val="5D8D599F"/>
    <w:rsid w:val="5F081118"/>
    <w:rsid w:val="67700C54"/>
    <w:rsid w:val="681E62E6"/>
    <w:rsid w:val="6ABB163D"/>
    <w:rsid w:val="73A016D5"/>
    <w:rsid w:val="785265B0"/>
    <w:rsid w:val="7D524231"/>
    <w:rsid w:val="7F4464D5"/>
    <w:rsid w:val="7F9D1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80" w:firstLineChars="200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keepLines/>
      <w:spacing w:before="10" w:beforeLines="0" w:beforeAutospacing="0" w:after="10" w:afterLines="0" w:afterAutospacing="0" w:line="240" w:lineRule="auto"/>
      <w:ind w:left="0" w:leftChars="0" w:firstLine="0" w:firstLineChars="0"/>
      <w:jc w:val="left"/>
      <w:outlineLvl w:val="0"/>
    </w:pPr>
    <w:rPr>
      <w:rFonts w:eastAsia="黑体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0" w:beforeLines="0" w:beforeAutospacing="0" w:after="10" w:afterLines="0" w:afterAutospacing="0" w:line="240" w:lineRule="auto"/>
      <w:ind w:firstLine="0" w:firstLineChars="0"/>
      <w:jc w:val="left"/>
      <w:outlineLvl w:val="1"/>
    </w:pPr>
    <w:rPr>
      <w:rFonts w:ascii="Arial" w:hAnsi="Arial" w:eastAsia="黑体"/>
      <w:b/>
      <w:sz w:val="28"/>
    </w:rPr>
  </w:style>
  <w:style w:type="paragraph" w:styleId="4">
    <w:name w:val="heading 3"/>
    <w:basedOn w:val="1"/>
    <w:next w:val="1"/>
    <w:link w:val="17"/>
    <w:unhideWhenUsed/>
    <w:qFormat/>
    <w:uiPriority w:val="0"/>
    <w:pPr>
      <w:keepNext/>
      <w:keepLines/>
      <w:spacing w:before="50" w:beforeLines="50" w:beforeAutospacing="0" w:after="50" w:afterLines="50" w:afterAutospacing="0" w:line="240" w:lineRule="auto"/>
      <w:ind w:firstLine="0" w:firstLineChars="0"/>
      <w:outlineLvl w:val="2"/>
    </w:pPr>
    <w:rPr>
      <w:rFonts w:eastAsia="黑体"/>
      <w:b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4">
    <w:name w:val="Strong"/>
    <w:basedOn w:val="13"/>
    <w:qFormat/>
    <w:uiPriority w:val="0"/>
    <w:rPr>
      <w:b/>
    </w:rPr>
  </w:style>
  <w:style w:type="paragraph" w:customStyle="1" w:styleId="15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16">
    <w:name w:val="WPSOffice手动目录 2"/>
    <w:qFormat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  <w:style w:type="character" w:customStyle="1" w:styleId="17">
    <w:name w:val="标题 3 Char"/>
    <w:link w:val="4"/>
    <w:qFormat/>
    <w:uiPriority w:val="0"/>
    <w:rPr>
      <w:rFonts w:eastAsia="黑体" w:asciiTheme="minorAscii" w:hAnsiTheme="minorAscii"/>
      <w:b/>
      <w:sz w:val="24"/>
    </w:rPr>
  </w:style>
  <w:style w:type="paragraph" w:customStyle="1" w:styleId="18">
    <w:name w:val="WPSOffice手动目录 3"/>
    <w:qFormat/>
    <w:uiPriority w:val="0"/>
    <w:pPr>
      <w:ind w:leftChars="400"/>
    </w:pPr>
    <w:rPr>
      <w:rFonts w:asciiTheme="minorHAnsi" w:hAnsiTheme="minorHAnsi" w:eastAsiaTheme="minorEastAsia" w:cstheme="minorBidi"/>
      <w:sz w:val="20"/>
      <w:szCs w:val="20"/>
    </w:rPr>
  </w:style>
  <w:style w:type="character" w:customStyle="1" w:styleId="19">
    <w:name w:val="标题 1 Char"/>
    <w:link w:val="2"/>
    <w:qFormat/>
    <w:uiPriority w:val="0"/>
    <w:rPr>
      <w:rFonts w:eastAsia="黑体"/>
      <w:b/>
      <w:kern w:val="44"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15475</Words>
  <Characters>18064</Characters>
  <Lines>0</Lines>
  <Paragraphs>0</Paragraphs>
  <TotalTime>1</TotalTime>
  <ScaleCrop>false</ScaleCrop>
  <LinksUpToDate>false</LinksUpToDate>
  <CharactersWithSpaces>19135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2025-03-20T08:58:00Z</dcterms:created>
  <dc:creator>WPS_1648991700</dc:creator>
  <cp:lastModifiedBy>WPS_1648991700</cp:lastModifiedBy>
  <dcterms:modified xsi:type="dcterms:W3CDTF">2026-01-05T12:12:28Z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0110C96426264C4B8D8552BBE99361CF_13</vt:lpwstr>
  </property>
  <property fmtid="{D5CDD505-2E9C-101B-9397-08002B2CF9AE}" pid="4" name="KSOTemplateDocerSaveRecord">
    <vt:lpwstr>eyJoZGlkIjoiMzE5ZDQ1YWE5ZjFhYmUyZTI4ZjIxMDA5NzA2NmFjZmMiLCJ1c2VySWQiOiIxMzU3Mjk2NjA0In0=</vt:lpwstr>
  </property>
</Properties>
</file>