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2EAC7">
      <w:pPr>
        <w:pStyle w:val="9"/>
        <w:ind w:firstLine="360"/>
        <w:jc w:val="center"/>
        <w:rPr>
          <w:rFonts w:eastAsiaTheme="minorEastAsia"/>
        </w:rPr>
      </w:pPr>
      <w:bookmarkStart w:id="0" w:name="_Toc19264"/>
    </w:p>
    <w:p w14:paraId="6103BDCE">
      <w:pPr>
        <w:spacing w:line="560" w:lineRule="exact"/>
        <w:ind w:firstLine="0" w:firstLineChars="0"/>
        <w:jc w:val="both"/>
        <w:rPr>
          <w:rFonts w:hint="eastAsia" w:ascii="黑体" w:hAnsi="黑体" w:eastAsia="黑体" w:cs="黑体"/>
          <w:b/>
          <w:bCs/>
          <w:sz w:val="52"/>
          <w:szCs w:val="52"/>
        </w:rPr>
      </w:pPr>
    </w:p>
    <w:p w14:paraId="64EB323B">
      <w:pPr>
        <w:spacing w:line="560" w:lineRule="exact"/>
        <w:ind w:firstLine="0" w:firstLineChars="0"/>
        <w:jc w:val="both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光衡果鉴-光电融合式AI水果</w:t>
      </w: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机器人</w:t>
      </w:r>
    </w:p>
    <w:p w14:paraId="2DF2FBF1">
      <w:pPr>
        <w:spacing w:line="560" w:lineRule="exact"/>
        <w:ind w:firstLine="0" w:firstLineChars="0"/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 xml:space="preserve">  </w:t>
      </w:r>
    </w:p>
    <w:p w14:paraId="5DB825B7">
      <w:pPr>
        <w:spacing w:line="560" w:lineRule="exact"/>
        <w:ind w:firstLine="1606" w:firstLineChars="500"/>
        <w:rPr>
          <w:rFonts w:hint="eastAsia" w:ascii="宋体" w:hAnsi="宋体" w:cs="宋体"/>
          <w:b/>
          <w:bCs/>
          <w:sz w:val="192"/>
          <w:szCs w:val="192"/>
        </w:rPr>
      </w:pPr>
      <w:r>
        <w:rPr>
          <w:rStyle w:val="16"/>
          <w:rFonts w:hint="eastAsia" w:ascii="宋体" w:hAnsi="宋体" w:cs="宋体"/>
          <w:bCs/>
          <w:color w:val="0F1115"/>
          <w:sz w:val="32"/>
          <w:szCs w:val="32"/>
          <w:shd w:val="clear" w:color="auto" w:fill="FFFFFF"/>
        </w:rPr>
        <w:t>——智能称重·精准识别·数据赋能——</w:t>
      </w:r>
    </w:p>
    <w:p w14:paraId="7C8BBD29">
      <w:pPr>
        <w:spacing w:line="560" w:lineRule="exact"/>
        <w:ind w:firstLine="0" w:firstLineChars="0"/>
        <w:rPr>
          <w:rFonts w:hint="eastAsia" w:ascii="黑体" w:hAnsi="黑体" w:eastAsia="黑体" w:cs="黑体"/>
          <w:b/>
          <w:bCs/>
          <w:sz w:val="52"/>
          <w:szCs w:val="52"/>
        </w:rPr>
      </w:pPr>
    </w:p>
    <w:p w14:paraId="17E4CC60">
      <w:pPr>
        <w:spacing w:line="560" w:lineRule="exact"/>
        <w:ind w:firstLine="2610" w:firstLineChars="500"/>
        <w:rPr>
          <w:rFonts w:hint="eastAsia" w:ascii="黑体" w:hAnsi="黑体" w:eastAsia="黑体" w:cs="黑体"/>
          <w:b/>
          <w:bCs/>
          <w:sz w:val="52"/>
          <w:szCs w:val="52"/>
        </w:rPr>
      </w:pPr>
    </w:p>
    <w:p w14:paraId="3F8149BB">
      <w:pPr>
        <w:spacing w:line="560" w:lineRule="exact"/>
        <w:ind w:firstLine="2811" w:firstLineChars="500"/>
        <w:rPr>
          <w:rFonts w:hint="eastAsia" w:ascii="黑体" w:hAnsi="黑体" w:eastAsia="黑体" w:cs="黑体"/>
          <w:b/>
          <w:bCs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z w:val="56"/>
          <w:szCs w:val="56"/>
          <w:lang w:val="en-US" w:eastAsia="zh-CN"/>
        </w:rPr>
        <w:t>商业计划</w:t>
      </w:r>
      <w:r>
        <w:rPr>
          <w:rFonts w:hint="eastAsia" w:ascii="黑体" w:hAnsi="黑体" w:eastAsia="黑体" w:cs="黑体"/>
          <w:b/>
          <w:bCs/>
          <w:sz w:val="56"/>
          <w:szCs w:val="56"/>
        </w:rPr>
        <w:t>书</w:t>
      </w:r>
    </w:p>
    <w:p w14:paraId="5DF65004">
      <w:pPr>
        <w:spacing w:line="560" w:lineRule="exact"/>
        <w:ind w:firstLine="1040"/>
        <w:rPr>
          <w:rFonts w:hint="eastAsia" w:ascii="黑体" w:hAnsi="黑体" w:eastAsia="黑体" w:cs="黑体"/>
          <w:sz w:val="52"/>
          <w:szCs w:val="52"/>
        </w:rPr>
      </w:pPr>
    </w:p>
    <w:p w14:paraId="4D68956D">
      <w:pPr>
        <w:spacing w:line="560" w:lineRule="exact"/>
        <w:ind w:firstLine="640"/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1116330</wp:posOffset>
            </wp:positionH>
            <wp:positionV relativeFrom="paragraph">
              <wp:posOffset>53975</wp:posOffset>
            </wp:positionV>
            <wp:extent cx="3251200" cy="3251200"/>
            <wp:effectExtent l="0" t="0" r="0" b="0"/>
            <wp:wrapNone/>
            <wp:docPr id="3" name="图片 3" descr="250801f61c793225a540eafea2d51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50801f61c793225a540eafea2d51c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9469F">
      <w:pPr>
        <w:spacing w:line="560" w:lineRule="exact"/>
        <w:ind w:firstLine="640"/>
        <w:jc w:val="center"/>
        <w:rPr>
          <w:rFonts w:ascii="仿宋_GB2312" w:eastAsia="仿宋_GB2312"/>
          <w:sz w:val="32"/>
          <w:szCs w:val="32"/>
        </w:rPr>
      </w:pPr>
    </w:p>
    <w:p w14:paraId="70571B4C">
      <w:pPr>
        <w:spacing w:line="560" w:lineRule="exact"/>
        <w:ind w:firstLine="640"/>
        <w:jc w:val="center"/>
        <w:rPr>
          <w:rFonts w:ascii="仿宋_GB2312" w:eastAsia="仿宋_GB2312"/>
          <w:sz w:val="32"/>
          <w:szCs w:val="32"/>
        </w:rPr>
      </w:pPr>
    </w:p>
    <w:p w14:paraId="58BF3522">
      <w:pPr>
        <w:spacing w:line="560" w:lineRule="exact"/>
        <w:ind w:firstLine="640"/>
        <w:jc w:val="center"/>
        <w:rPr>
          <w:rFonts w:ascii="仿宋_GB2312" w:eastAsia="仿宋_GB2312"/>
          <w:sz w:val="32"/>
          <w:szCs w:val="32"/>
        </w:rPr>
      </w:pPr>
    </w:p>
    <w:p w14:paraId="3A664360">
      <w:pPr>
        <w:spacing w:line="560" w:lineRule="exact"/>
        <w:ind w:firstLine="640"/>
        <w:jc w:val="center"/>
        <w:rPr>
          <w:rFonts w:ascii="仿宋_GB2312" w:eastAsia="仿宋_GB2312"/>
          <w:sz w:val="32"/>
          <w:szCs w:val="32"/>
        </w:rPr>
      </w:pPr>
    </w:p>
    <w:p w14:paraId="0033948B">
      <w:pPr>
        <w:spacing w:line="560" w:lineRule="exact"/>
        <w:ind w:firstLine="640"/>
        <w:jc w:val="center"/>
        <w:rPr>
          <w:rFonts w:ascii="仿宋_GB2312" w:eastAsia="仿宋_GB2312"/>
          <w:sz w:val="32"/>
          <w:szCs w:val="32"/>
        </w:rPr>
      </w:pPr>
    </w:p>
    <w:p w14:paraId="55D643BB">
      <w:pPr>
        <w:spacing w:line="560" w:lineRule="exact"/>
        <w:ind w:firstLine="0" w:firstLineChars="0"/>
        <w:jc w:val="center"/>
        <w:rPr>
          <w:rFonts w:ascii="仿宋_GB2312" w:eastAsia="仿宋_GB2312"/>
          <w:sz w:val="32"/>
          <w:szCs w:val="32"/>
        </w:rPr>
      </w:pPr>
    </w:p>
    <w:p w14:paraId="17F12F5C">
      <w:pPr>
        <w:spacing w:line="560" w:lineRule="exact"/>
        <w:ind w:firstLine="640"/>
        <w:jc w:val="center"/>
        <w:rPr>
          <w:rFonts w:ascii="仿宋_GB2312" w:eastAsia="仿宋_GB2312"/>
          <w:sz w:val="32"/>
          <w:szCs w:val="32"/>
        </w:rPr>
      </w:pPr>
    </w:p>
    <w:p w14:paraId="1AB296CB">
      <w:pPr>
        <w:spacing w:line="560" w:lineRule="exact"/>
        <w:ind w:firstLine="0" w:firstLineChars="0"/>
        <w:rPr>
          <w:rFonts w:ascii="仿宋_GB2312" w:eastAsia="仿宋_GB2312"/>
          <w:sz w:val="32"/>
          <w:szCs w:val="32"/>
        </w:rPr>
      </w:pPr>
    </w:p>
    <w:p w14:paraId="504FB054">
      <w:pPr>
        <w:spacing w:line="560" w:lineRule="exact"/>
        <w:ind w:firstLine="640"/>
        <w:rPr>
          <w:rFonts w:ascii="仿宋_GB2312" w:eastAsia="仿宋_GB2312"/>
          <w:sz w:val="32"/>
          <w:szCs w:val="32"/>
        </w:rPr>
      </w:pPr>
    </w:p>
    <w:p w14:paraId="1C2C6467">
      <w:pPr>
        <w:spacing w:line="560" w:lineRule="exact"/>
        <w:ind w:firstLine="640"/>
        <w:rPr>
          <w:rFonts w:ascii="仿宋_GB2312" w:eastAsia="仿宋_GB2312"/>
          <w:sz w:val="32"/>
          <w:szCs w:val="32"/>
        </w:rPr>
      </w:pPr>
    </w:p>
    <w:p w14:paraId="55DF92AA">
      <w:pPr>
        <w:spacing w:line="560" w:lineRule="exact"/>
        <w:ind w:left="2231" w:leftChars="270" w:hanging="1583" w:hangingChars="754"/>
        <w:rPr>
          <w:rFonts w:ascii="仿宋_GB2312" w:eastAsia="仿宋_GB2312"/>
          <w:sz w:val="32"/>
          <w:szCs w:val="32"/>
          <w:u w:val="single"/>
        </w:rPr>
      </w:pPr>
      <w:r>
        <w:rPr>
          <w:rFonts w:hint="eastAsia" w:ascii="宋体" w:hAnsi="宋体"/>
          <w:sz w:val="21"/>
        </w:rPr>
        <w:br w:type="page"/>
      </w:r>
    </w:p>
    <w:sdt>
      <w:sdtPr>
        <w:rPr>
          <w:rFonts w:ascii="宋体" w:hAnsi="宋体"/>
          <w:sz w:val="21"/>
        </w:rPr>
        <w:id w:val="147472554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4"/>
        </w:rPr>
      </w:sdtEndPr>
      <w:sdtContent>
        <w:p w14:paraId="076BF96C">
          <w:pPr>
            <w:widowControl/>
            <w:ind w:firstLine="0" w:firstLineChars="0"/>
            <w:jc w:val="center"/>
            <w:rPr>
              <w:b/>
              <w:bCs/>
              <w:sz w:val="44"/>
              <w:szCs w:val="44"/>
            </w:rPr>
          </w:pPr>
          <w:r>
            <w:rPr>
              <w:rFonts w:ascii="宋体" w:hAnsi="宋体"/>
              <w:b/>
              <w:bCs/>
              <w:sz w:val="44"/>
              <w:szCs w:val="44"/>
            </w:rPr>
            <w:t>目录</w:t>
          </w:r>
        </w:p>
        <w:p w14:paraId="39C6FE0B">
          <w:pPr>
            <w:pStyle w:val="10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"_Toc211542506" </w:instrText>
          </w:r>
          <w:r>
            <w:fldChar w:fldCharType="separate"/>
          </w:r>
          <w:r>
            <w:rPr>
              <w:rStyle w:val="17"/>
              <w:rFonts w:hint="eastAsia"/>
            </w:rPr>
            <w:t>1.绪论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0CAC23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"_Toc211542507" </w:instrText>
          </w:r>
          <w:r>
            <w:fldChar w:fldCharType="separate"/>
          </w:r>
          <w:r>
            <w:rPr>
              <w:rStyle w:val="17"/>
              <w:rFonts w:hint="eastAsia"/>
            </w:rPr>
            <w:t>1.1项目背景：产业痛点与时代机遇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3480C5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"_Toc211542508" </w:instrText>
          </w:r>
          <w:r>
            <w:fldChar w:fldCharType="separate"/>
          </w:r>
          <w:r>
            <w:rPr>
              <w:rStyle w:val="17"/>
              <w:rFonts w:hint="eastAsia"/>
            </w:rPr>
            <w:t>1.2问题提出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3CFF67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"_Toc211542509" </w:instrText>
          </w:r>
          <w:r>
            <w:fldChar w:fldCharType="separate"/>
          </w:r>
          <w:r>
            <w:rPr>
              <w:rStyle w:val="17"/>
              <w:rFonts w:hint="eastAsia"/>
            </w:rPr>
            <w:t>1.3解决方案：光衡果鉴——会看、会算、会思考的智能秤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1ED33C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"_Toc211542510" </w:instrText>
          </w:r>
          <w:r>
            <w:fldChar w:fldCharType="separate"/>
          </w:r>
          <w:r>
            <w:rPr>
              <w:rStyle w:val="17"/>
              <w:rFonts w:hint="eastAsia"/>
            </w:rPr>
            <w:t>1.4整体图片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9A5CD7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"_Toc211542511" </w:instrText>
          </w:r>
          <w:r>
            <w:fldChar w:fldCharType="separate"/>
          </w:r>
          <w:r>
            <w:rPr>
              <w:rStyle w:val="17"/>
              <w:rFonts w:hint="eastAsia"/>
            </w:rPr>
            <w:t>1.5 方案效果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E89F37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"_Toc211542512" </w:instrText>
          </w:r>
          <w:r>
            <w:fldChar w:fldCharType="separate"/>
          </w:r>
          <w:r>
            <w:rPr>
              <w:rStyle w:val="17"/>
              <w:rFonts w:hint="eastAsia"/>
            </w:rPr>
            <w:t>1.6 应用场景与总结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30C52A">
          <w:pPr>
            <w:pStyle w:val="10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"_Toc211542513" </w:instrText>
          </w:r>
          <w:r>
            <w:fldChar w:fldCharType="separate"/>
          </w:r>
          <w:r>
            <w:rPr>
              <w:rStyle w:val="17"/>
              <w:rFonts w:hint="eastAsia"/>
            </w:rPr>
            <w:t>2.系统总体设计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508C156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"_Toc211542514" </w:instrText>
          </w:r>
          <w:r>
            <w:fldChar w:fldCharType="separate"/>
          </w:r>
          <w:r>
            <w:rPr>
              <w:rStyle w:val="17"/>
              <w:rFonts w:hint="eastAsia"/>
            </w:rPr>
            <w:t>2.1设计思路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BEDDB5B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"_Toc211542515" </w:instrText>
          </w:r>
          <w:r>
            <w:fldChar w:fldCharType="separate"/>
          </w:r>
          <w:r>
            <w:rPr>
              <w:rStyle w:val="17"/>
              <w:rFonts w:hint="eastAsia"/>
            </w:rPr>
            <w:t>2.2系统总体设计方案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05071A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"_Toc211542516" </w:instrText>
          </w:r>
          <w:r>
            <w:fldChar w:fldCharType="separate"/>
          </w:r>
          <w:r>
            <w:rPr>
              <w:rStyle w:val="17"/>
              <w:rFonts w:hint="eastAsia"/>
            </w:rPr>
            <w:t>2.3功能概述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EE5080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"_Toc211542517" </w:instrText>
          </w:r>
          <w:r>
            <w:fldChar w:fldCharType="separate"/>
          </w:r>
          <w:r>
            <w:rPr>
              <w:rStyle w:val="17"/>
              <w:rFonts w:hint="eastAsia"/>
            </w:rPr>
            <w:t>2.4系统优势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7933974">
          <w:pPr>
            <w:pStyle w:val="10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"_Toc211542518" </w:instrText>
          </w:r>
          <w:r>
            <w:fldChar w:fldCharType="separate"/>
          </w:r>
          <w:r>
            <w:rPr>
              <w:rStyle w:val="17"/>
              <w:rFonts w:hint="eastAsia"/>
            </w:rPr>
            <w:t>3.硬件设计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6101A1D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"_Toc211542519" </w:instrText>
          </w:r>
          <w:r>
            <w:fldChar w:fldCharType="separate"/>
          </w:r>
          <w:r>
            <w:rPr>
              <w:rStyle w:val="17"/>
              <w:rFonts w:hint="eastAsia"/>
            </w:rPr>
            <w:t>3.1硬件选择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2C6B7DC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"_Toc211542520" </w:instrText>
          </w:r>
          <w:r>
            <w:fldChar w:fldCharType="separate"/>
          </w:r>
          <w:r>
            <w:rPr>
              <w:rStyle w:val="17"/>
              <w:rFonts w:hint="eastAsia"/>
            </w:rPr>
            <w:t>3.2外观设计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8826EB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"_Toc211542521" </w:instrText>
          </w:r>
          <w:r>
            <w:fldChar w:fldCharType="separate"/>
          </w:r>
          <w:r>
            <w:rPr>
              <w:rStyle w:val="17"/>
              <w:rFonts w:hint="eastAsia"/>
            </w:rPr>
            <w:t>3.3主控芯片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4A07D2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"_Toc211542522" </w:instrText>
          </w:r>
          <w:r>
            <w:fldChar w:fldCharType="separate"/>
          </w:r>
          <w:r>
            <w:rPr>
              <w:rStyle w:val="17"/>
              <w:rFonts w:hint="eastAsia"/>
            </w:rPr>
            <w:t>3.3.1芯片概述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91AE645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"_Toc211542523" </w:instrText>
          </w:r>
          <w:r>
            <w:fldChar w:fldCharType="separate"/>
          </w:r>
          <w:r>
            <w:rPr>
              <w:rStyle w:val="17"/>
              <w:rFonts w:hint="eastAsia"/>
            </w:rPr>
            <w:t>3.3.2核心参数与架构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00BCE2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"_Toc211542524" </w:instrText>
          </w:r>
          <w:r>
            <w:fldChar w:fldCharType="separate"/>
          </w:r>
          <w:r>
            <w:rPr>
              <w:rStyle w:val="17"/>
              <w:rFonts w:hint="eastAsia"/>
            </w:rPr>
            <w:t>3.3.3关键外设资源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5AFF72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"_Toc211542525" </w:instrText>
          </w:r>
          <w:r>
            <w:fldChar w:fldCharType="separate"/>
          </w:r>
          <w:r>
            <w:rPr>
              <w:rStyle w:val="17"/>
              <w:rFonts w:hint="eastAsia"/>
            </w:rPr>
            <w:t>3.3.4优势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1068DFB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"_Toc211542526" </w:instrText>
          </w:r>
          <w:r>
            <w:fldChar w:fldCharType="separate"/>
          </w:r>
          <w:r>
            <w:rPr>
              <w:rStyle w:val="17"/>
              <w:rFonts w:hint="eastAsia"/>
            </w:rPr>
            <w:t>3.4主要传感器模块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381C0A9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"_Toc211542527" </w:instrText>
          </w:r>
          <w:r>
            <w:fldChar w:fldCharType="separate"/>
          </w:r>
          <w:r>
            <w:rPr>
              <w:rStyle w:val="17"/>
              <w:rFonts w:hint="eastAsia"/>
            </w:rPr>
            <w:t>3.4.1称重模块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C8CB25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"_Toc211542528" </w:instrText>
          </w:r>
          <w:r>
            <w:fldChar w:fldCharType="separate"/>
          </w:r>
          <w:r>
            <w:rPr>
              <w:rStyle w:val="17"/>
              <w:rFonts w:hint="eastAsia"/>
            </w:rPr>
            <w:t>3.4.2 K210视觉识别传感器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926034F">
          <w:pPr>
            <w:pStyle w:val="10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"_Toc211542529" </w:instrText>
          </w:r>
          <w:r>
            <w:fldChar w:fldCharType="separate"/>
          </w:r>
          <w:r>
            <w:rPr>
              <w:rStyle w:val="17"/>
              <w:rFonts w:hint="eastAsia"/>
            </w:rPr>
            <w:t>4.软件设计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59E8BB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"_Toc211542530" </w:instrText>
          </w:r>
          <w:r>
            <w:fldChar w:fldCharType="separate"/>
          </w:r>
          <w:r>
            <w:rPr>
              <w:rStyle w:val="17"/>
              <w:rFonts w:hint="eastAsia"/>
            </w:rPr>
            <w:t>4.1开发环境与工具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423183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"_Toc211542531" </w:instrText>
          </w:r>
          <w:r>
            <w:fldChar w:fldCharType="separate"/>
          </w:r>
          <w:r>
            <w:rPr>
              <w:rStyle w:val="17"/>
              <w:rFonts w:hint="eastAsia"/>
            </w:rPr>
            <w:t>4.1.1单片机软件开发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7257DD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"_Toc211542532" </w:instrText>
          </w:r>
          <w:r>
            <w:fldChar w:fldCharType="separate"/>
          </w:r>
          <w:r>
            <w:rPr>
              <w:rStyle w:val="17"/>
              <w:rFonts w:hint="eastAsia"/>
            </w:rPr>
            <w:t>4.1.2 PCB板设计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9A19B11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"_Toc211542533" </w:instrText>
          </w:r>
          <w:r>
            <w:fldChar w:fldCharType="separate"/>
          </w:r>
          <w:r>
            <w:rPr>
              <w:rStyle w:val="17"/>
              <w:rFonts w:hint="eastAsia"/>
            </w:rPr>
            <w:t>4.2显示软件设计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C6B697">
          <w:pPr>
            <w:pStyle w:val="10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"_Toc211542534" </w:instrText>
          </w:r>
          <w:r>
            <w:fldChar w:fldCharType="separate"/>
          </w:r>
          <w:r>
            <w:rPr>
              <w:rStyle w:val="17"/>
              <w:rFonts w:hint="eastAsia"/>
            </w:rPr>
            <w:t>5.系统调试与结果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D57896A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"_Toc211542535" </w:instrText>
          </w:r>
          <w:r>
            <w:fldChar w:fldCharType="separate"/>
          </w:r>
          <w:r>
            <w:rPr>
              <w:rStyle w:val="17"/>
              <w:rFonts w:hint="eastAsia"/>
            </w:rPr>
            <w:t>5.1系统调试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3F50B7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"_Toc211542536" </w:instrText>
          </w:r>
          <w:r>
            <w:fldChar w:fldCharType="separate"/>
          </w:r>
          <w:r>
            <w:rPr>
              <w:rStyle w:val="17"/>
              <w:rFonts w:hint="eastAsia"/>
            </w:rPr>
            <w:t>5.1.1硬件调试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20878F1">
          <w:pPr>
            <w:pStyle w:val="7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"_Toc211542537" </w:instrText>
          </w:r>
          <w:r>
            <w:fldChar w:fldCharType="separate"/>
          </w:r>
          <w:r>
            <w:rPr>
              <w:rStyle w:val="17"/>
              <w:rFonts w:hint="eastAsia"/>
            </w:rPr>
            <w:t>5.1.2软件调试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145DCA">
          <w:pPr>
            <w:pStyle w:val="11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"_Toc211542538" </w:instrText>
          </w:r>
          <w:r>
            <w:fldChar w:fldCharType="separate"/>
          </w:r>
          <w:r>
            <w:rPr>
              <w:rStyle w:val="17"/>
              <w:rFonts w:hint="eastAsia"/>
            </w:rPr>
            <w:t>5.2测试结果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5ED69E">
          <w:pPr>
            <w:pStyle w:val="10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"_Toc211542539" </w:instrText>
          </w:r>
          <w:r>
            <w:fldChar w:fldCharType="separate"/>
          </w:r>
          <w:r>
            <w:rPr>
              <w:rStyle w:val="17"/>
              <w:rFonts w:hint="eastAsia"/>
            </w:rPr>
            <w:t>6.总结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_Toc211542539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D9B0EA">
          <w:pPr>
            <w:ind w:firstLine="480"/>
          </w:pPr>
          <w:r>
            <w:fldChar w:fldCharType="end"/>
          </w:r>
        </w:p>
      </w:sdtContent>
    </w:sdt>
    <w:p w14:paraId="4164E2A4">
      <w:pPr>
        <w:ind w:firstLine="480"/>
      </w:pPr>
    </w:p>
    <w:p w14:paraId="56577B0E">
      <w:pPr>
        <w:ind w:firstLine="480"/>
      </w:pPr>
    </w:p>
    <w:p w14:paraId="75189AE1">
      <w:pPr>
        <w:pStyle w:val="2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1" w:name="_Toc31404"/>
    </w:p>
    <w:p w14:paraId="4BFA9EED">
      <w:pPr>
        <w:pStyle w:val="2"/>
      </w:pPr>
      <w:bookmarkStart w:id="2" w:name="_Toc211542506"/>
      <w:r>
        <w:rPr>
          <w:rFonts w:hint="eastAsia"/>
        </w:rPr>
        <w:t>1.绪论</w:t>
      </w:r>
      <w:bookmarkEnd w:id="0"/>
      <w:bookmarkEnd w:id="1"/>
      <w:bookmarkEnd w:id="2"/>
      <w:bookmarkStart w:id="86" w:name="_GoBack"/>
      <w:bookmarkEnd w:id="86"/>
    </w:p>
    <w:p w14:paraId="68AFC73B">
      <w:pPr>
        <w:pStyle w:val="3"/>
      </w:pPr>
      <w:bookmarkStart w:id="3" w:name="_Toc20077"/>
      <w:bookmarkStart w:id="4" w:name="_Toc31824"/>
      <w:bookmarkStart w:id="5" w:name="_Toc211542507"/>
      <w:r>
        <w:rPr>
          <w:rFonts w:hint="eastAsia"/>
        </w:rPr>
        <w:t>1.1项目背景</w:t>
      </w:r>
      <w:bookmarkEnd w:id="3"/>
      <w:bookmarkEnd w:id="4"/>
      <w:r>
        <w:rPr>
          <w:rFonts w:hint="eastAsia"/>
        </w:rPr>
        <w:t>：产业痛点与时代机遇</w:t>
      </w:r>
      <w:bookmarkEnd w:id="5"/>
    </w:p>
    <w:p w14:paraId="3A7B1A2B">
      <w:pPr>
        <w:ind w:firstLine="480"/>
      </w:pPr>
      <w:bookmarkStart w:id="6" w:name="_Toc28426"/>
      <w:bookmarkStart w:id="7" w:name="_Toc18372"/>
      <w:r>
        <w:rPr>
          <w:rFonts w:hint="eastAsia"/>
        </w:rPr>
        <w:t>中国是世界最大的水果生产国和消费国，2024年水果总产值突破2.8万亿元。然而，在产业规模持续扩大的背后，是长期存在的“效率瓶颈”与“价值损耗”。</w:t>
      </w:r>
    </w:p>
    <w:p w14:paraId="1FA7C781">
      <w:pPr>
        <w:ind w:firstLine="480"/>
      </w:pPr>
      <w:r>
        <w:rPr>
          <w:rFonts w:hint="eastAsia"/>
        </w:rPr>
        <w:t>（1）</w:t>
      </w:r>
      <w:r>
        <w:rPr>
          <w:rFonts w:hint="eastAsia"/>
          <w:b/>
          <w:bCs/>
        </w:rPr>
        <w:t>生产效率低下</w:t>
      </w:r>
      <w:r>
        <w:t>：产后分拣环节高度依赖人工，一名熟练工每日仅能分拣500-800公斤水果，且因疲劳、经验差异导致分拣标准不一，综合成本占终端售价高达15%-25%。</w:t>
      </w:r>
    </w:p>
    <w:p w14:paraId="029D5837">
      <w:pPr>
        <w:ind w:firstLine="480"/>
      </w:pPr>
      <w:r>
        <w:rPr>
          <w:rFonts w:hint="eastAsia"/>
        </w:rPr>
        <w:t>（2）</w:t>
      </w:r>
      <w:r>
        <w:rPr>
          <w:b/>
          <w:bCs/>
        </w:rPr>
        <w:t>品质管控缺失：</w:t>
      </w:r>
      <w:r>
        <w:t>传统机械秤或电子秤仅能提供重量信息，无法对水果种类、规格、表面瑕疵进行客观识别，导致“以次充好”、“混等混级”现象频发，严重制约品牌化发展。</w:t>
      </w:r>
    </w:p>
    <w:p w14:paraId="694DD9DE">
      <w:pPr>
        <w:ind w:firstLine="480"/>
      </w:pPr>
      <w:r>
        <w:rPr>
          <w:rFonts w:hint="eastAsia"/>
        </w:rPr>
        <w:t>（3）</w:t>
      </w:r>
      <w:r>
        <w:rPr>
          <w:b/>
          <w:bCs/>
        </w:rPr>
        <w:t>数据价值沉睡：</w:t>
      </w:r>
      <w:r>
        <w:t>从果园到货架，水果的流通数据几乎为空白，无法实现精准溯源、销量预测与个性化营销，产业链各环节如同“信息孤岛”。</w:t>
      </w:r>
    </w:p>
    <w:p w14:paraId="6AAC1A13">
      <w:pPr>
        <w:ind w:firstLine="480"/>
      </w:pPr>
      <w:r>
        <w:t>与此同时，国家《“十四五”全国农业农村科技发展规划》明确提出推动智能感知、人工智能等技术与农业全链条深度融合。边缘计算AI芯片的成熟与成本下降，为在终端侧实现低成本、高实时性的智能决策提供了技术基石。</w:t>
      </w:r>
    </w:p>
    <w:p w14:paraId="6771487B">
      <w:pPr>
        <w:pStyle w:val="4"/>
        <w:spacing w:before="156" w:after="156"/>
      </w:pPr>
      <w:bookmarkStart w:id="8" w:name="_Toc211542508"/>
      <w:r>
        <w:rPr>
          <w:rFonts w:hint="eastAsia"/>
        </w:rPr>
        <w:t>1.2</w:t>
      </w:r>
      <w:bookmarkEnd w:id="6"/>
      <w:bookmarkEnd w:id="7"/>
      <w:r>
        <w:rPr>
          <w:rFonts w:hint="eastAsia"/>
        </w:rPr>
        <w:t>问题提出</w:t>
      </w:r>
      <w:bookmarkEnd w:id="8"/>
    </w:p>
    <w:p w14:paraId="095509D3">
      <w:pPr>
        <w:ind w:firstLine="480"/>
      </w:pPr>
      <w:r>
        <w:rPr>
          <w:rFonts w:hint="eastAsia"/>
        </w:rPr>
        <w:t>“光衡果鉴”</w:t>
      </w:r>
      <w:r>
        <w:t>直面水果产业链中“最初一公里”与“最后一公里”的核心痛点：</w:t>
      </w:r>
      <w:bookmarkStart w:id="9" w:name="_Toc21551"/>
      <w:bookmarkStart w:id="10" w:name="_Toc18756"/>
    </w:p>
    <w:p w14:paraId="7FF68101">
      <w:pPr>
        <w:ind w:firstLine="480"/>
      </w:pPr>
      <w:r>
        <w:rPr>
          <w:rFonts w:hint="eastAsia"/>
        </w:rPr>
        <w:t>（1）</w:t>
      </w:r>
      <w:r>
        <w:rPr>
          <w:b/>
          <w:bCs/>
        </w:rPr>
        <w:t>“识别难”：</w:t>
      </w:r>
      <w:r>
        <w:t>如何在不显著增加成本和操作复杂度的情况下，让一台普通的秤具备“火眼金睛”，自动识别水果种类？</w:t>
      </w:r>
    </w:p>
    <w:p w14:paraId="2EBFF9E7">
      <w:pPr>
        <w:ind w:firstLine="480"/>
      </w:pPr>
      <w:r>
        <w:rPr>
          <w:rFonts w:hint="eastAsia"/>
        </w:rPr>
        <w:t>（2）</w:t>
      </w:r>
      <w:r>
        <w:rPr>
          <w:b/>
          <w:bCs/>
        </w:rPr>
        <w:t>“效率低”：</w:t>
      </w:r>
      <w:r>
        <w:t>如何在秒级时间内，同步完成“识别+称重+计价”全流程，超越人工操作速度？</w:t>
      </w:r>
    </w:p>
    <w:p w14:paraId="15E2D42F">
      <w:pPr>
        <w:ind w:firstLine="480"/>
      </w:pPr>
      <w:r>
        <w:rPr>
          <w:rFonts w:hint="eastAsia"/>
        </w:rPr>
        <w:t>（3）</w:t>
      </w:r>
      <w:r>
        <w:rPr>
          <w:b/>
          <w:bCs/>
        </w:rPr>
        <w:t>“数据荒”：</w:t>
      </w:r>
      <w:r>
        <w:t>如何为中小型商户及上游供应商，提供以往只有大型企业才能负担的精准数据服务？</w:t>
      </w:r>
    </w:p>
    <w:p w14:paraId="39F2CA91">
      <w:pPr>
        <w:pStyle w:val="4"/>
        <w:spacing w:before="156" w:after="156"/>
      </w:pPr>
      <w:bookmarkStart w:id="11" w:name="_Toc211542509"/>
      <w:r>
        <w:rPr>
          <w:rFonts w:hint="eastAsia"/>
        </w:rPr>
        <w:t>1.3</w:t>
      </w:r>
      <w:r>
        <w:t>解决方案：光衡果鉴——会看、会算、会思考的智能秤</w:t>
      </w:r>
      <w:bookmarkEnd w:id="11"/>
    </w:p>
    <w:p w14:paraId="3251FF0F">
      <w:pPr>
        <w:ind w:firstLine="480"/>
      </w:pPr>
      <w:r>
        <w:t>“光衡果鉴”是全球首款面向轻量级场景的光电融合式AI水果智秤。我们以高性能</w:t>
      </w:r>
      <w:r>
        <w:rPr>
          <w:b/>
          <w:bCs/>
        </w:rPr>
        <w:t>STM32</w:t>
      </w:r>
      <w:r>
        <w:t>微控制器为控制中枢，深度融合专为边缘计算设计的</w:t>
      </w:r>
      <w:r>
        <w:rPr>
          <w:b/>
          <w:bCs/>
        </w:rPr>
        <w:t>K210 AI</w:t>
      </w:r>
      <w:r>
        <w:t>视觉模块与高精度</w:t>
      </w:r>
      <w:r>
        <w:rPr>
          <w:b/>
          <w:bCs/>
        </w:rPr>
        <w:t>HX711</w:t>
      </w:r>
      <w:r>
        <w:t>称重模块，在一台设备上实现了：</w:t>
      </w:r>
    </w:p>
    <w:p w14:paraId="0EB2A8E3">
      <w:pPr>
        <w:ind w:firstLine="480"/>
      </w:pPr>
      <w:r>
        <w:t>“看一眼就知”：基于</w:t>
      </w:r>
      <w:r>
        <w:rPr>
          <w:b/>
          <w:bCs/>
        </w:rPr>
        <w:t>深度学习模型</w:t>
      </w:r>
      <w:r>
        <w:t>，自动识别放置在秤盘上的水果种类。</w:t>
      </w:r>
    </w:p>
    <w:p w14:paraId="7705B60C">
      <w:pPr>
        <w:ind w:firstLine="480"/>
      </w:pPr>
      <w:r>
        <w:t>“称一下就准”：毫秒级同步完成高精度重量计量。</w:t>
      </w:r>
    </w:p>
    <w:p w14:paraId="3125E34B">
      <w:pPr>
        <w:ind w:firstLine="480"/>
      </w:pPr>
      <w:r>
        <w:t>“算一下即明”：自动匹配预设单价，计算总价，并实时显示所有信息。</w:t>
      </w:r>
    </w:p>
    <w:p w14:paraId="738DA848">
      <w:pPr>
        <w:ind w:firstLine="480"/>
      </w:pPr>
      <w:r>
        <w:t>我们不仅仅是在做一台“秤”，而是在打造一个集成了视觉、力觉与决策能力的微型机器人终端，是水果产业数字化升级的入口级设备。</w:t>
      </w:r>
    </w:p>
    <w:p w14:paraId="1C7DC087">
      <w:pPr>
        <w:pStyle w:val="4"/>
        <w:spacing w:before="156" w:after="156"/>
      </w:pPr>
      <w:bookmarkStart w:id="12" w:name="_Toc211542510"/>
      <w:r>
        <w:rPr>
          <w:rFonts w:hint="eastAsia"/>
        </w:rPr>
        <w:t>1.4整体图片</w:t>
      </w:r>
      <w:bookmarkEnd w:id="12"/>
    </w:p>
    <w:p w14:paraId="1F4FC3F3">
      <w:pPr>
        <w:ind w:firstLine="480"/>
      </w:pPr>
      <w:r>
        <w:drawing>
          <wp:inline distT="0" distB="0" distL="114300" distR="114300">
            <wp:extent cx="2188845" cy="3073400"/>
            <wp:effectExtent l="0" t="0" r="1905" b="0"/>
            <wp:docPr id="5" name="图片 5" descr="光衡果鉴-照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光衡果鉴-照片3"/>
                    <pic:cNvPicPr>
                      <a:picLocks noChangeAspect="1"/>
                    </pic:cNvPicPr>
                  </pic:nvPicPr>
                  <pic:blipFill>
                    <a:blip r:embed="rId14"/>
                    <a:srcRect t="2183" b="13371"/>
                    <a:stretch>
                      <a:fillRect/>
                    </a:stretch>
                  </pic:blipFill>
                  <pic:spPr>
                    <a:xfrm>
                      <a:off x="0" y="0"/>
                      <a:ext cx="2192741" cy="30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3265" cy="3068320"/>
            <wp:effectExtent l="0" t="0" r="6985" b="0"/>
            <wp:docPr id="8" name="图片 8" descr="光衡果鉴-照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光衡果鉴-照片5"/>
                    <pic:cNvPicPr>
                      <a:picLocks noChangeAspect="1"/>
                    </pic:cNvPicPr>
                  </pic:nvPicPr>
                  <pic:blipFill>
                    <a:blip r:embed="rId15"/>
                    <a:srcRect l="-1578" t="535" r="1578" b="1922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94898" cy="30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100">
      <w:pPr>
        <w:pStyle w:val="6"/>
        <w:spacing w:before="123" w:line="219" w:lineRule="auto"/>
        <w:ind w:firstLine="464"/>
        <w:jc w:val="center"/>
        <w:rPr>
          <w:rFonts w:hint="eastAsia"/>
          <w:spacing w:val="-4"/>
          <w:lang w:eastAsia="zh-CN"/>
        </w:rPr>
      </w:pPr>
      <w:r>
        <w:rPr>
          <w:spacing w:val="-4"/>
          <w:lang w:eastAsia="zh-CN"/>
        </w:rPr>
        <w:t>图</w:t>
      </w:r>
      <w:r>
        <w:rPr>
          <w:rFonts w:hint="eastAsia"/>
          <w:spacing w:val="-4"/>
          <w:lang w:eastAsia="zh-CN"/>
        </w:rPr>
        <w:t xml:space="preserve">1.1 </w:t>
      </w:r>
      <w:r>
        <w:rPr>
          <w:spacing w:val="-4"/>
          <w:lang w:eastAsia="zh-CN"/>
        </w:rPr>
        <w:t>光衡果鉴系统硬件集成实物图</w:t>
      </w:r>
    </w:p>
    <w:p w14:paraId="4BDDA4C5">
      <w:pPr>
        <w:widowControl/>
        <w:spacing w:line="240" w:lineRule="auto"/>
        <w:ind w:firstLine="0" w:firstLineChars="0"/>
        <w:rPr>
          <w:rFonts w:hint="eastAsia" w:ascii="宋体" w:hAnsi="宋体" w:cs="宋体"/>
          <w:spacing w:val="-4"/>
        </w:rPr>
      </w:pPr>
      <w:r>
        <w:rPr>
          <w:rFonts w:hint="eastAsia"/>
          <w:spacing w:val="-4"/>
        </w:rPr>
        <w:br w:type="page"/>
      </w:r>
    </w:p>
    <w:tbl>
      <w:tblPr>
        <w:tblStyle w:val="30"/>
        <w:tblpPr w:leftFromText="180" w:rightFromText="180" w:vertAnchor="text" w:horzAnchor="margin" w:tblpY="1284"/>
        <w:tblOverlap w:val="never"/>
        <w:tblW w:w="781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5"/>
        <w:gridCol w:w="1937"/>
        <w:gridCol w:w="1676"/>
        <w:gridCol w:w="2369"/>
      </w:tblGrid>
      <w:tr w14:paraId="20B1AF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35" w:type="dxa"/>
            <w:tcBorders>
              <w:top w:val="single" w:color="000000" w:sz="10" w:space="0"/>
              <w:bottom w:val="single" w:color="000000" w:sz="10" w:space="0"/>
            </w:tcBorders>
            <w:shd w:val="clear" w:color="auto" w:fill="DEEBF6"/>
          </w:tcPr>
          <w:p w14:paraId="40221108">
            <w:pPr>
              <w:spacing w:before="84" w:line="219" w:lineRule="auto"/>
              <w:ind w:firstLine="916" w:firstLineChars="400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spacing w:val="-6"/>
              </w:rPr>
              <w:t>参数</w:t>
            </w:r>
          </w:p>
        </w:tc>
        <w:tc>
          <w:tcPr>
            <w:tcW w:w="1937" w:type="dxa"/>
            <w:tcBorders>
              <w:top w:val="single" w:color="000000" w:sz="10" w:space="0"/>
              <w:bottom w:val="single" w:color="000000" w:sz="10" w:space="0"/>
            </w:tcBorders>
            <w:shd w:val="clear" w:color="auto" w:fill="DEEBF6"/>
          </w:tcPr>
          <w:p w14:paraId="75F42630">
            <w:pPr>
              <w:spacing w:before="84" w:line="220" w:lineRule="auto"/>
              <w:ind w:firstLine="470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spacing w:val="-3"/>
              </w:rPr>
              <w:t>扰动范围</w:t>
            </w:r>
          </w:p>
        </w:tc>
        <w:tc>
          <w:tcPr>
            <w:tcW w:w="1676" w:type="dxa"/>
            <w:tcBorders>
              <w:top w:val="single" w:color="000000" w:sz="10" w:space="0"/>
              <w:bottom w:val="single" w:color="000000" w:sz="10" w:space="0"/>
            </w:tcBorders>
            <w:shd w:val="clear" w:color="auto" w:fill="DEEBF6"/>
          </w:tcPr>
          <w:p w14:paraId="3269E7D0">
            <w:pPr>
              <w:spacing w:before="84" w:line="219" w:lineRule="auto"/>
              <w:ind w:firstLine="237" w:firstLineChars="100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spacing w:val="-2"/>
              </w:rPr>
              <w:t>遮蔽时长变化</w:t>
            </w:r>
          </w:p>
        </w:tc>
        <w:tc>
          <w:tcPr>
            <w:tcW w:w="2369" w:type="dxa"/>
            <w:tcBorders>
              <w:top w:val="single" w:color="000000" w:sz="10" w:space="0"/>
              <w:bottom w:val="single" w:color="000000" w:sz="10" w:space="0"/>
            </w:tcBorders>
            <w:shd w:val="clear" w:color="auto" w:fill="DEEBF6"/>
          </w:tcPr>
          <w:p w14:paraId="23EEF174">
            <w:pPr>
              <w:spacing w:before="84" w:line="219" w:lineRule="auto"/>
              <w:ind w:left="267" w:firstLine="470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spacing w:val="-3"/>
              </w:rPr>
              <w:t>灵敏度系数</w:t>
            </w:r>
          </w:p>
        </w:tc>
      </w:tr>
      <w:tr w14:paraId="0621B4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1835" w:type="dxa"/>
            <w:tcBorders>
              <w:top w:val="single" w:color="000000" w:sz="10" w:space="0"/>
            </w:tcBorders>
            <w:vAlign w:val="center"/>
          </w:tcPr>
          <w:p w14:paraId="5B9E2336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性能指标</w:t>
            </w:r>
          </w:p>
        </w:tc>
        <w:tc>
          <w:tcPr>
            <w:tcW w:w="1937" w:type="dxa"/>
            <w:tcBorders>
              <w:top w:val="single" w:color="000000" w:sz="10" w:space="0"/>
            </w:tcBorders>
            <w:vAlign w:val="center"/>
          </w:tcPr>
          <w:p w14:paraId="5CB9C873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实测数据</w:t>
            </w:r>
          </w:p>
        </w:tc>
        <w:tc>
          <w:tcPr>
            <w:tcW w:w="1676" w:type="dxa"/>
            <w:tcBorders>
              <w:top w:val="single" w:color="000000" w:sz="10" w:space="0"/>
            </w:tcBorders>
            <w:vAlign w:val="center"/>
          </w:tcPr>
          <w:p w14:paraId="5E4BCAF4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行业平均水平（轻量级设备）</w:t>
            </w:r>
          </w:p>
        </w:tc>
        <w:tc>
          <w:tcPr>
            <w:tcW w:w="2369" w:type="dxa"/>
            <w:tcBorders>
              <w:top w:val="single" w:color="000000" w:sz="10" w:space="0"/>
            </w:tcBorders>
            <w:vAlign w:val="center"/>
          </w:tcPr>
          <w:p w14:paraId="1CB5D10E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提升幅度</w:t>
            </w:r>
          </w:p>
        </w:tc>
      </w:tr>
      <w:tr w14:paraId="4390B9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1835" w:type="dxa"/>
            <w:vAlign w:val="center"/>
          </w:tcPr>
          <w:p w14:paraId="561523C7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水果识别准确率</w:t>
            </w:r>
          </w:p>
        </w:tc>
        <w:tc>
          <w:tcPr>
            <w:tcW w:w="1937" w:type="dxa"/>
            <w:vAlign w:val="center"/>
          </w:tcPr>
          <w:p w14:paraId="040A6E60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≥96.5%</w:t>
            </w:r>
            <w:r>
              <w:rPr>
                <w:rStyle w:val="32"/>
                <w:rFonts w:hint="eastAsia" w:ascii="宋体" w:hAnsi="宋体" w:eastAsia="宋体" w:cs="宋体"/>
                <w:b/>
                <w:bCs/>
                <w:sz w:val="21"/>
                <w:szCs w:val="21"/>
                <w:lang w:bidi="ar"/>
              </w:rPr>
              <w:t xml:space="preserve"> (针对苹果、橙子、香蕉等10种常见水果)</w:t>
            </w:r>
          </w:p>
        </w:tc>
        <w:tc>
          <w:tcPr>
            <w:tcW w:w="1676" w:type="dxa"/>
            <w:vAlign w:val="center"/>
          </w:tcPr>
          <w:p w14:paraId="1F390DA0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无同类产品</w:t>
            </w:r>
          </w:p>
        </w:tc>
        <w:tc>
          <w:tcPr>
            <w:tcW w:w="2369" w:type="dxa"/>
            <w:vAlign w:val="center"/>
          </w:tcPr>
          <w:p w14:paraId="6ACC882B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N/A</w:t>
            </w:r>
          </w:p>
        </w:tc>
      </w:tr>
      <w:tr w14:paraId="24BA21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1835" w:type="dxa"/>
            <w:vAlign w:val="center"/>
          </w:tcPr>
          <w:p w14:paraId="22301CF5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识别+称重总耗时</w:t>
            </w:r>
          </w:p>
        </w:tc>
        <w:tc>
          <w:tcPr>
            <w:tcW w:w="1937" w:type="dxa"/>
            <w:vAlign w:val="center"/>
          </w:tcPr>
          <w:p w14:paraId="2AD3A731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&lt; 0.8秒</w:t>
            </w:r>
          </w:p>
        </w:tc>
        <w:tc>
          <w:tcPr>
            <w:tcW w:w="1676" w:type="dxa"/>
            <w:vAlign w:val="center"/>
          </w:tcPr>
          <w:p w14:paraId="14C1C185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人工操作约2-3秒</w:t>
            </w:r>
          </w:p>
        </w:tc>
        <w:tc>
          <w:tcPr>
            <w:tcW w:w="2369" w:type="dxa"/>
            <w:vAlign w:val="center"/>
          </w:tcPr>
          <w:p w14:paraId="6829C010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效率提升250%+</w:t>
            </w:r>
          </w:p>
        </w:tc>
      </w:tr>
      <w:tr w14:paraId="52C35C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1835" w:type="dxa"/>
            <w:vAlign w:val="center"/>
          </w:tcPr>
          <w:p w14:paraId="13994168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重量测量误差</w:t>
            </w:r>
          </w:p>
        </w:tc>
        <w:tc>
          <w:tcPr>
            <w:tcW w:w="1937" w:type="dxa"/>
            <w:vAlign w:val="center"/>
          </w:tcPr>
          <w:p w14:paraId="796EE102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≤ ±1克</w:t>
            </w:r>
          </w:p>
        </w:tc>
        <w:tc>
          <w:tcPr>
            <w:tcW w:w="1676" w:type="dxa"/>
            <w:vAlign w:val="center"/>
          </w:tcPr>
          <w:p w14:paraId="2DBB0CB4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普通电子秤±5-10克</w:t>
            </w:r>
          </w:p>
        </w:tc>
        <w:tc>
          <w:tcPr>
            <w:tcW w:w="2369" w:type="dxa"/>
            <w:vAlign w:val="center"/>
          </w:tcPr>
          <w:p w14:paraId="7BE31C58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精度提升500%</w:t>
            </w:r>
          </w:p>
        </w:tc>
      </w:tr>
      <w:tr w14:paraId="4DDE1C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1835" w:type="dxa"/>
            <w:vAlign w:val="center"/>
          </w:tcPr>
          <w:p w14:paraId="2BC7F4E7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8"/>
                <w:position w:val="3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单次识别功耗</w:t>
            </w:r>
          </w:p>
        </w:tc>
        <w:tc>
          <w:tcPr>
            <w:tcW w:w="1937" w:type="dxa"/>
            <w:vAlign w:val="center"/>
          </w:tcPr>
          <w:p w14:paraId="310B0C66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-5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&lt; 2.1 Joule</w:t>
            </w:r>
          </w:p>
        </w:tc>
        <w:tc>
          <w:tcPr>
            <w:tcW w:w="1676" w:type="dxa"/>
            <w:vAlign w:val="center"/>
          </w:tcPr>
          <w:p w14:paraId="0FE76DAA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-8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无直接对比，但待机功耗&lt;0.5W</w:t>
            </w:r>
          </w:p>
        </w:tc>
        <w:tc>
          <w:tcPr>
            <w:tcW w:w="2369" w:type="dxa"/>
            <w:vAlign w:val="center"/>
          </w:tcPr>
          <w:p w14:paraId="3C66C69C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-3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超低功耗设计</w:t>
            </w:r>
          </w:p>
        </w:tc>
      </w:tr>
      <w:tr w14:paraId="4780E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1835" w:type="dxa"/>
            <w:tcBorders>
              <w:bottom w:val="single" w:color="000000" w:sz="10" w:space="0"/>
            </w:tcBorders>
            <w:vAlign w:val="center"/>
          </w:tcPr>
          <w:p w14:paraId="5D048F6F">
            <w:pPr>
              <w:widowControl/>
              <w:ind w:firstLine="632" w:firstLineChars="300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8"/>
                <w:position w:val="3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模型支持种类</w:t>
            </w:r>
          </w:p>
        </w:tc>
        <w:tc>
          <w:tcPr>
            <w:tcW w:w="1937" w:type="dxa"/>
            <w:tcBorders>
              <w:bottom w:val="single" w:color="000000" w:sz="10" w:space="0"/>
            </w:tcBorders>
            <w:vAlign w:val="center"/>
          </w:tcPr>
          <w:p w14:paraId="12FF8BCA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-5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10+种，可在线扩展</w:t>
            </w:r>
          </w:p>
        </w:tc>
        <w:tc>
          <w:tcPr>
            <w:tcW w:w="1676" w:type="dxa"/>
            <w:tcBorders>
              <w:bottom w:val="single" w:color="000000" w:sz="10" w:space="0"/>
            </w:tcBorders>
            <w:vAlign w:val="center"/>
          </w:tcPr>
          <w:p w14:paraId="70A27E86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-8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固定种类，无法更新</w:t>
            </w:r>
          </w:p>
        </w:tc>
        <w:tc>
          <w:tcPr>
            <w:tcW w:w="2369" w:type="dxa"/>
            <w:tcBorders>
              <w:bottom w:val="single" w:color="000000" w:sz="10" w:space="0"/>
            </w:tcBorders>
            <w:vAlign w:val="center"/>
          </w:tcPr>
          <w:p w14:paraId="24DCD916">
            <w:pPr>
              <w:widowControl/>
              <w:ind w:firstLine="422"/>
              <w:jc w:val="center"/>
              <w:textAlignment w:val="center"/>
              <w:rPr>
                <w:rFonts w:hint="eastAsia" w:ascii="宋体" w:hAnsi="宋体" w:cs="宋体"/>
                <w:b/>
                <w:bCs/>
                <w:spacing w:val="-3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F1115"/>
                <w:kern w:val="0"/>
                <w:sz w:val="21"/>
                <w:szCs w:val="21"/>
                <w:lang w:bidi="ar"/>
              </w:rPr>
              <w:t>具备进化能力</w:t>
            </w:r>
          </w:p>
        </w:tc>
      </w:tr>
    </w:tbl>
    <w:p w14:paraId="032E637A">
      <w:pPr>
        <w:pStyle w:val="3"/>
      </w:pPr>
      <w:bookmarkStart w:id="13" w:name="_Toc211542511"/>
      <w:r>
        <w:t>1.5 方案效果</w:t>
      </w:r>
      <w:bookmarkEnd w:id="13"/>
    </w:p>
    <w:p w14:paraId="36DC34D1">
      <w:pPr>
        <w:ind w:firstLine="0" w:firstLineChars="0"/>
        <w:jc w:val="center"/>
      </w:pPr>
      <w:r>
        <w:rPr>
          <w:rFonts w:hint="eastAsia"/>
          <w:spacing w:val="-4"/>
        </w:rPr>
        <w:t>表1.1整体性能参数</w:t>
      </w:r>
    </w:p>
    <w:p w14:paraId="38E2F70A">
      <w:pPr>
        <w:pStyle w:val="3"/>
      </w:pPr>
      <w:bookmarkStart w:id="14" w:name="_Toc211542512"/>
      <w:r>
        <w:t>1.6 应用场景与总结</w:t>
      </w:r>
      <w:bookmarkEnd w:id="14"/>
    </w:p>
    <w:p w14:paraId="762C0E8D">
      <w:pPr>
        <w:ind w:firstLine="480"/>
      </w:pPr>
      <w:r>
        <w:t>光衡果鉴精准定位于对效率、成本和数据有迫切需求的高频、小额交易场景：</w:t>
      </w:r>
    </w:p>
    <w:p w14:paraId="133721D9">
      <w:pPr>
        <w:ind w:firstLine="482"/>
      </w:pPr>
      <w:r>
        <w:rPr>
          <w:b/>
          <w:bCs/>
        </w:rPr>
        <w:t>智慧新零售：</w:t>
      </w:r>
      <w:r>
        <w:t>生鲜超市、社区团购自提点、无人智慧便利店，实现快速自助结算。</w:t>
      </w:r>
    </w:p>
    <w:p w14:paraId="451A4797">
      <w:pPr>
        <w:ind w:firstLine="482"/>
      </w:pPr>
      <w:r>
        <w:rPr>
          <w:b/>
          <w:bCs/>
        </w:rPr>
        <w:t>传统农贸升级：</w:t>
      </w:r>
      <w:r>
        <w:t>农贸市场个体商户，提升摊位科技感与交易效率，杜绝价格争议。</w:t>
      </w:r>
    </w:p>
    <w:p w14:paraId="1C3949D1">
      <w:pPr>
        <w:ind w:firstLine="482"/>
      </w:pPr>
      <w:r>
        <w:rPr>
          <w:b/>
          <w:bCs/>
        </w:rPr>
        <w:t>供应链前端：</w:t>
      </w:r>
      <w:r>
        <w:t>中小型果园、合作社，用于采摘后的快速分级、出货统计。</w:t>
      </w:r>
    </w:p>
    <w:p w14:paraId="5CD1A839">
      <w:pPr>
        <w:ind w:firstLine="482"/>
      </w:pPr>
      <w:r>
        <w:rPr>
          <w:b/>
          <w:bCs/>
        </w:rPr>
        <w:t>食品加工与餐饮：</w:t>
      </w:r>
      <w:r>
        <w:t>连锁餐饮后厨、果汁店，用于食材成本的精准管控。</w:t>
      </w:r>
    </w:p>
    <w:p w14:paraId="722F6F9E">
      <w:pPr>
        <w:ind w:firstLine="480"/>
      </w:pPr>
      <w:r>
        <w:t>总结而言，光衡果鉴通过“硬件融合创新”与“边缘AI赋能”，将原本复杂、昂贵的机器视觉技术，以极具成本效益的方式集成于一台标准秤具中，为下沉市场提供了前所未有的智能化解决方案，是推动水果产业从“经验驱动”迈向“数据驱动”的关键一步。</w:t>
      </w:r>
    </w:p>
    <w:p w14:paraId="20D9E33B">
      <w:pPr>
        <w:pStyle w:val="2"/>
      </w:pPr>
      <w:bookmarkStart w:id="15" w:name="_Toc211542513"/>
      <w:r>
        <w:rPr>
          <w:rFonts w:hint="eastAsia"/>
        </w:rPr>
        <w:t>2.系统总体设计</w:t>
      </w:r>
      <w:bookmarkEnd w:id="9"/>
      <w:bookmarkEnd w:id="10"/>
      <w:bookmarkEnd w:id="15"/>
    </w:p>
    <w:p w14:paraId="61EF1863">
      <w:pPr>
        <w:pStyle w:val="3"/>
      </w:pPr>
      <w:bookmarkStart w:id="16" w:name="_Toc5975"/>
      <w:bookmarkStart w:id="17" w:name="_Toc649"/>
      <w:bookmarkStart w:id="18" w:name="_Toc211542514"/>
      <w:r>
        <w:rPr>
          <w:rFonts w:hint="eastAsia"/>
        </w:rPr>
        <w:t>2.1设计思路</w:t>
      </w:r>
      <w:bookmarkEnd w:id="16"/>
      <w:bookmarkEnd w:id="17"/>
      <w:bookmarkEnd w:id="18"/>
    </w:p>
    <w:p w14:paraId="2C877285">
      <w:pPr>
        <w:ind w:firstLine="480"/>
      </w:pPr>
      <w:r>
        <w:rPr>
          <w:rFonts w:hint="eastAsia"/>
        </w:rPr>
        <w:t>本次</w:t>
      </w:r>
      <w:r>
        <w:t>设计以STM32F103RCT6单片机为核心，构建多传感器融合的智能</w:t>
      </w:r>
      <w:r>
        <w:rPr>
          <w:rFonts w:hint="eastAsia"/>
        </w:rPr>
        <w:t>安全</w:t>
      </w:r>
      <w:r>
        <w:t>防护系统：采用HC-SR04超声波与红外热释电传感器实时采集0.1-10米范围内障碍物数据，通过加权算法融合距离信息并预警；集成ATGM336H定位模块与SIM900A短信模块，实现一键SOS报警时发送含经纬度的求救信息至紧急联系人，并通过ESP01S WiFi模块将数据同步至云端平台；温度传感器实时监测盲人</w:t>
      </w:r>
      <w:r>
        <w:rPr>
          <w:rFonts w:hint="eastAsia"/>
        </w:rPr>
        <w:t>体温</w:t>
      </w:r>
      <w:r>
        <w:t>，心率传感器检测心率变化，采集到的数据通过WiFi模块实时上传到云平台，可及时发现异常情况。一旦健康数据超出正常范围，通过SIM900A短信报警模块通知家属或医护人员。光敏电阻检测环境光照强度低于</w:t>
      </w:r>
      <w:r>
        <w:rPr>
          <w:rFonts w:hint="eastAsia"/>
        </w:rPr>
        <w:t>设定值</w:t>
      </w:r>
      <w:r>
        <w:t>时自动</w:t>
      </w:r>
      <w:r>
        <w:rPr>
          <w:rFonts w:hint="eastAsia"/>
        </w:rPr>
        <w:t>点亮</w:t>
      </w:r>
      <w:r>
        <w:t>WS2812B灯带</w:t>
      </w:r>
      <w:r>
        <w:rPr>
          <w:rFonts w:hint="eastAsia"/>
        </w:rPr>
        <w:t>以提醒路人；</w:t>
      </w:r>
      <w:r>
        <w:t>系统采用双电源管理（AMS1117-3.3V与LM1117-5V）保障各模块供电稳定，通过OLED屏幕显示设备状态，具备抗干扰滤波电路与数据滑动滤波算法确保可靠性</w:t>
      </w:r>
      <w:r>
        <w:rPr>
          <w:rFonts w:hint="eastAsia"/>
        </w:rPr>
        <w:t>。</w:t>
      </w:r>
    </w:p>
    <w:p w14:paraId="63412903">
      <w:pPr>
        <w:pStyle w:val="3"/>
      </w:pPr>
      <w:bookmarkStart w:id="19" w:name="_Toc23771"/>
      <w:bookmarkStart w:id="20" w:name="_Toc211542515"/>
      <w:bookmarkStart w:id="21" w:name="_Toc9226"/>
      <w:r>
        <w:rPr>
          <w:rFonts w:hint="eastAsia"/>
        </w:rPr>
        <w:t>2.2系统总体设计方案</w:t>
      </w:r>
      <w:bookmarkEnd w:id="19"/>
      <w:bookmarkEnd w:id="20"/>
      <w:bookmarkEnd w:id="21"/>
    </w:p>
    <w:p w14:paraId="0C55FF9F">
      <w:pPr>
        <w:ind w:firstLine="0" w:firstLineChars="0"/>
      </w:pPr>
      <w:r>
        <w:drawing>
          <wp:inline distT="0" distB="0" distL="0" distR="0">
            <wp:extent cx="5027295" cy="2052955"/>
            <wp:effectExtent l="0" t="0" r="1905" b="4445"/>
            <wp:docPr id="17424787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8709" name="图片 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124" cy="205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3DA5">
      <w:pPr>
        <w:ind w:firstLine="480"/>
        <w:jc w:val="center"/>
      </w:pPr>
      <w:r>
        <w:rPr>
          <w:rFonts w:hint="eastAsia"/>
        </w:rPr>
        <w:t>图2.1系统总体设计框图</w:t>
      </w:r>
    </w:p>
    <w:p w14:paraId="5415B656">
      <w:pPr>
        <w:ind w:firstLine="480"/>
      </w:pPr>
      <w:r>
        <w:t>STM32主控模块作为核心大脑，连接各传感器模块，如超声波</w:t>
      </w:r>
      <w:r>
        <w:rPr>
          <w:rFonts w:hint="eastAsia"/>
        </w:rPr>
        <w:t>（HC-SR04）</w:t>
      </w:r>
      <w:r>
        <w:t>、红外、温度</w:t>
      </w:r>
      <w:r>
        <w:rPr>
          <w:rFonts w:hint="eastAsia"/>
        </w:rPr>
        <w:t>（DS18B20）</w:t>
      </w:r>
      <w:r>
        <w:t>、心率传感器等，实时采集数据。</w:t>
      </w:r>
    </w:p>
    <w:p w14:paraId="6000E173">
      <w:pPr>
        <w:ind w:firstLine="480"/>
      </w:pPr>
      <w:r>
        <w:t>通信模块包括、ATGM336H、</w:t>
      </w:r>
      <w:r>
        <w:rPr>
          <w:rFonts w:hint="eastAsia"/>
        </w:rPr>
        <w:t>ESP01S</w:t>
      </w:r>
      <w:r>
        <w:t>、SIM900A，分别负责定位、数据上传与短信报警，实现信息交互。</w:t>
      </w:r>
    </w:p>
    <w:p w14:paraId="1CD5DB4F">
      <w:pPr>
        <w:ind w:firstLine="480"/>
      </w:pPr>
      <w:r>
        <w:t>显示与交互模块由OLED屏幕、语音模块、灯带组成。</w:t>
      </w:r>
    </w:p>
    <w:p w14:paraId="534B3A11">
      <w:pPr>
        <w:ind w:firstLine="480"/>
      </w:pPr>
      <w:r>
        <w:t>传感器采集数据后，经主控模块处理分析，将结果发送至显示与交互模块，同时通过通信模块上传至云平台。</w:t>
      </w:r>
    </w:p>
    <w:p w14:paraId="010E093A">
      <w:pPr>
        <w:ind w:firstLine="480"/>
      </w:pPr>
      <w:r>
        <w:t>云平台接收数据后，可进行远程监控与分析。</w:t>
      </w:r>
      <w:bookmarkStart w:id="22" w:name="_Toc12702"/>
      <w:bookmarkStart w:id="23" w:name="_Toc15665"/>
    </w:p>
    <w:p w14:paraId="71B42034">
      <w:pPr>
        <w:pStyle w:val="3"/>
      </w:pPr>
      <w:bookmarkStart w:id="24" w:name="_Toc211542516"/>
      <w:r>
        <w:rPr>
          <w:rFonts w:hint="eastAsia"/>
        </w:rPr>
        <w:t>2.3功能概述</w:t>
      </w:r>
      <w:bookmarkEnd w:id="22"/>
      <w:bookmarkEnd w:id="23"/>
      <w:bookmarkEnd w:id="24"/>
    </w:p>
    <w:p w14:paraId="26446A7F">
      <w:pPr>
        <w:ind w:firstLine="480"/>
      </w:pPr>
      <w:r>
        <w:drawing>
          <wp:inline distT="0" distB="0" distL="114300" distR="114300">
            <wp:extent cx="5272405" cy="575183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829" cy="57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CB11">
      <w:pPr>
        <w:ind w:firstLine="480"/>
        <w:jc w:val="center"/>
      </w:pPr>
      <w:bookmarkStart w:id="25" w:name="_Toc12281"/>
      <w:bookmarkStart w:id="26" w:name="_Toc25737"/>
      <w:r>
        <w:rPr>
          <w:rFonts w:hint="eastAsia"/>
        </w:rPr>
        <w:t>图2.2功能概述</w:t>
      </w:r>
    </w:p>
    <w:p w14:paraId="29B64A80">
      <w:pPr>
        <w:ind w:firstLine="480"/>
      </w:pPr>
      <w:r>
        <w:rPr>
          <w:rFonts w:hint="eastAsia"/>
        </w:rPr>
        <w:t>（一）电源模块</w:t>
      </w:r>
    </w:p>
    <w:p w14:paraId="5154EB76">
      <w:pPr>
        <w:ind w:firstLine="480"/>
      </w:pPr>
      <w:r>
        <w:rPr>
          <w:rFonts w:hint="eastAsia"/>
        </w:rPr>
        <w:t>采用18650电池组作为电源，其能量密度较高、可重复充电。搭配LM2596降压芯片，将电池组输出电压稳定转换为各模块所需电压，如为STM32F103C8T6提供3.3V或5V工作电压，确保系统稳定供电。</w:t>
      </w:r>
    </w:p>
    <w:p w14:paraId="41D9FB56">
      <w:pPr>
        <w:ind w:firstLine="480"/>
      </w:pPr>
      <w:r>
        <w:t xml:space="preserve"> </w:t>
      </w:r>
      <w:r>
        <w:rPr>
          <w:rFonts w:hint="eastAsia"/>
        </w:rPr>
        <w:t>（二）主控模块</w:t>
      </w:r>
    </w:p>
    <w:p w14:paraId="628BFA8A">
      <w:pPr>
        <w:ind w:firstLine="480"/>
      </w:pPr>
      <w:r>
        <w:t xml:space="preserve"> </w:t>
      </w:r>
      <w:r>
        <w:rPr>
          <w:rFonts w:hint="eastAsia"/>
        </w:rPr>
        <w:t>选用STM32F103C8T6微控制器，它基于ARM Cortex - M3内核，具备丰富外设接口（如SPI、I2C、UART等），可方便地与各模块通信。通过编程实现对各模块的初始化、数据采集控制、算法调用以及结果输出控制等功能。</w:t>
      </w:r>
    </w:p>
    <w:p w14:paraId="2F177A58">
      <w:pPr>
        <w:ind w:firstLine="480"/>
      </w:pPr>
      <w:r>
        <w:t xml:space="preserve"> </w:t>
      </w:r>
      <w:r>
        <w:rPr>
          <w:rFonts w:hint="eastAsia"/>
        </w:rPr>
        <w:t>（三）识别模块</w:t>
      </w:r>
    </w:p>
    <w:p w14:paraId="32BD3F43">
      <w:pPr>
        <w:ind w:firstLine="480"/>
      </w:pPr>
      <w:r>
        <w:t xml:space="preserve"> </w:t>
      </w:r>
      <w:r>
        <w:rPr>
          <w:rFonts w:hint="eastAsia"/>
        </w:rPr>
        <w:t>k210视觉识别模块集成了专用的图像传感器和AI处理芯片。利用其自带的开发工具和深度学习框架，对大量水果图像进行标注、训练，建立水果识别模型。模块通过SPI或USB接口与主控模块连接，将识别结果传输给STM32F103C8T6。</w:t>
      </w:r>
    </w:p>
    <w:p w14:paraId="2130B725">
      <w:pPr>
        <w:ind w:firstLine="480"/>
      </w:pPr>
      <w:r>
        <w:t xml:space="preserve"> </w:t>
      </w:r>
      <w:r>
        <w:rPr>
          <w:rFonts w:hint="eastAsia"/>
        </w:rPr>
        <w:t>（四）称重模块</w:t>
      </w:r>
    </w:p>
    <w:p w14:paraId="64EEDD0E">
      <w:pPr>
        <w:ind w:firstLine="480"/>
      </w:pPr>
      <w:r>
        <w:t xml:space="preserve"> </w:t>
      </w:r>
      <w:r>
        <w:rPr>
          <w:rFonts w:hint="eastAsia"/>
        </w:rPr>
        <w:t>HX711称重模块与称重传感器相连，该模块具有高精度A/D转换功能。称重传感器将水果重量转化为电信号，HX711模块将其转换为数字信号后传输给主控模块，经数据处理得到准确重量值。</w:t>
      </w:r>
    </w:p>
    <w:p w14:paraId="3AA36164">
      <w:pPr>
        <w:ind w:firstLine="480"/>
      </w:pPr>
      <w:r>
        <w:t xml:space="preserve"> </w:t>
      </w:r>
      <w:r>
        <w:rPr>
          <w:rFonts w:hint="eastAsia"/>
        </w:rPr>
        <w:t>（五）显示模块</w:t>
      </w:r>
    </w:p>
    <w:p w14:paraId="28DC041C">
      <w:pPr>
        <w:ind w:firstLine="480"/>
      </w:pPr>
      <w:r>
        <w:t xml:space="preserve"> </w:t>
      </w:r>
      <w:r>
        <w:rPr>
          <w:rFonts w:hint="eastAsia"/>
        </w:rPr>
        <w:t>OLED显示屏具有自发光、对比度高、响应速度快等优点。通过I2C接口与主控模块连接，STM32F103C8T6将水果识别结果（种类、品质等）和重量信息发送给OLED显示屏进行实时显示。</w:t>
      </w:r>
    </w:p>
    <w:p w14:paraId="1B96644A">
      <w:pPr>
        <w:pStyle w:val="3"/>
      </w:pPr>
      <w:bookmarkStart w:id="27" w:name="_Toc211542517"/>
      <w:r>
        <w:rPr>
          <w:rFonts w:hint="eastAsia"/>
        </w:rPr>
        <w:t>2.4系统优势</w:t>
      </w:r>
      <w:bookmarkEnd w:id="25"/>
      <w:bookmarkEnd w:id="26"/>
      <w:bookmarkEnd w:id="27"/>
    </w:p>
    <w:p w14:paraId="7392349C">
      <w:pPr>
        <w:ind w:firstLine="480"/>
        <w:rPr>
          <w:rFonts w:hint="eastAsia" w:ascii="宋体" w:hAnsi="宋体"/>
        </w:rPr>
      </w:pPr>
      <w:bookmarkStart w:id="28" w:name="_Toc14132"/>
      <w:bookmarkStart w:id="29" w:name="_Toc5318"/>
      <w:r>
        <w:rPr>
          <w:rFonts w:hint="eastAsia" w:ascii="宋体" w:hAnsi="宋体"/>
        </w:rPr>
        <w:t>1.电源稳定高效：采用18650电池组，能量密度高、续航能力较好，搭配LM2596降压模块，能将电压稳定转换为系统所需值，保证供电稳定，且转换效率高，减少能量损耗。</w:t>
      </w:r>
    </w:p>
    <w:p w14:paraId="4AF93AAF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2. 主控性能强劲：STM32F103C8T6微控制器基于ARM Cortex - M3内核，运算速度快、性能稳定，丰富的外设接口便于连接各类功能模块，可灵活实现多种控制逻辑。</w:t>
      </w:r>
    </w:p>
    <w:p w14:paraId="564D28B6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3. 功能丰富多元</w:t>
      </w:r>
    </w:p>
    <w:p w14:paraId="691F9F7D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显示直观：OLED显示屏自发光特性使其具备高对比度、广视角和快速响应能力，可清晰、实时展示系统关键信息。</w:t>
      </w:r>
    </w:p>
    <w:p w14:paraId="7D366249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视觉识别精准：k210视觉识别模块内置神经网络加速器，能高效实现图像识别、物体检测等功能，适用于需要视觉感知的场景。</w:t>
      </w:r>
    </w:p>
    <w:p w14:paraId="2A658F98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称重精确可靠：HX711称重模块24位A/D转换精度高，配合压力传感器可实现高精度重量测量，满足对重量数据敏感的应用需求。</w:t>
      </w:r>
    </w:p>
    <w:p w14:paraId="1542847A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灯光效果绚丽：WS2812B灯条通过单总线控制，能呈现丰富多样的色彩和灯光效果，可用于营造氛围或状态指示等。</w:t>
      </w:r>
    </w:p>
    <w:p w14:paraId="33E0F006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4. 扩展性佳：各模块相对独立又能与主控良好协同，方便根据实际需求增减或替换模块，易于二次开发和功能拓展，适用于多种应用场景。</w:t>
      </w:r>
    </w:p>
    <w:p w14:paraId="5764D664">
      <w:pPr>
        <w:pStyle w:val="2"/>
      </w:pPr>
      <w:bookmarkStart w:id="30" w:name="_Toc211542518"/>
      <w:r>
        <w:rPr>
          <w:rFonts w:hint="eastAsia"/>
        </w:rPr>
        <w:t>3.硬件设计</w:t>
      </w:r>
      <w:bookmarkEnd w:id="28"/>
      <w:bookmarkEnd w:id="29"/>
      <w:bookmarkEnd w:id="30"/>
    </w:p>
    <w:p w14:paraId="5281ADB8">
      <w:pPr>
        <w:pStyle w:val="3"/>
      </w:pPr>
      <w:bookmarkStart w:id="31" w:name="_Toc21830"/>
      <w:bookmarkStart w:id="32" w:name="_Toc29182"/>
      <w:bookmarkStart w:id="33" w:name="_Toc211542519"/>
      <w:r>
        <w:rPr>
          <w:rFonts w:hint="eastAsia"/>
        </w:rPr>
        <w:t>3.1硬件选择</w:t>
      </w:r>
      <w:bookmarkEnd w:id="31"/>
      <w:bookmarkEnd w:id="32"/>
      <w:bookmarkEnd w:id="33"/>
    </w:p>
    <w:p w14:paraId="53F23B31">
      <w:pPr>
        <w:ind w:firstLine="480"/>
      </w:pPr>
      <w:r>
        <w:t>主控选用STM32F103RCT6</w:t>
      </w:r>
      <w:r>
        <w:rPr>
          <w:rFonts w:hint="eastAsia"/>
        </w:rPr>
        <w:t>芯片</w:t>
      </w:r>
      <w:r>
        <w:t>，5V转3.3V芯片为AMS1117-3.3，晶振采用8MHz晶振，屏幕选用0.96寸OLED屏幕（IIC引脚）、定位模块选用ATGM336H模块，语音播报模块选用中文语音合成模块，测距采用HC-SR04模块、光敏采用传统的光敏传感器、短信报警模块采用SIM900A模块，红外采用红外热释传感器，温度传感器采用DS18B20传感器，WIFI采用ESP</w:t>
      </w:r>
      <w:r>
        <w:rPr>
          <w:rFonts w:hint="eastAsia"/>
        </w:rPr>
        <w:t>-</w:t>
      </w:r>
      <w:r>
        <w:t>01S模块、灯带采用WS2812B，心率监测模块选用pulse心率传感器。</w:t>
      </w:r>
    </w:p>
    <w:p w14:paraId="0ED5AE5B">
      <w:pPr>
        <w:pStyle w:val="3"/>
      </w:pPr>
      <w:bookmarkStart w:id="34" w:name="_Toc211542520"/>
      <w:r>
        <w:rPr>
          <w:rFonts w:hint="eastAsia"/>
        </w:rPr>
        <w:t>3.2外观设计</w:t>
      </w:r>
      <w:bookmarkEnd w:id="34"/>
    </w:p>
    <w:p w14:paraId="368E8D96">
      <w:pPr>
        <w:ind w:firstLine="480"/>
      </w:pPr>
      <w:r>
        <w:rPr>
          <w:rFonts w:hint="eastAsia"/>
        </w:rPr>
        <w:t>外观设计如图3.1所示。</w:t>
      </w:r>
    </w:p>
    <w:p w14:paraId="15DA73A2">
      <w:pPr>
        <w:ind w:firstLine="480"/>
      </w:pPr>
      <w:bookmarkStart w:id="35" w:name="_Toc198065444"/>
      <w:bookmarkStart w:id="36" w:name="_Toc23437"/>
      <w:bookmarkStart w:id="37" w:name="_Toc17059"/>
      <w:r>
        <w:drawing>
          <wp:inline distT="0" distB="0" distL="0" distR="0">
            <wp:extent cx="1598295" cy="1760220"/>
            <wp:effectExtent l="0" t="0" r="190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6" r="10606"/>
                    <a:stretch>
                      <a:fillRect/>
                    </a:stretch>
                  </pic:blipFill>
                  <pic:spPr>
                    <a:xfrm>
                      <a:off x="0" y="0"/>
                      <a:ext cx="1601604" cy="17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1586865" cy="1763395"/>
            <wp:effectExtent l="0" t="0" r="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" b="4271"/>
                    <a:stretch>
                      <a:fillRect/>
                    </a:stretch>
                  </pic:blipFill>
                  <pic:spPr>
                    <a:xfrm>
                      <a:off x="0" y="0"/>
                      <a:ext cx="1588839" cy="17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1709420" cy="1751330"/>
            <wp:effectExtent l="0" t="0" r="508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1" r="9841"/>
                    <a:stretch>
                      <a:fillRect/>
                    </a:stretch>
                  </pic:blipFill>
                  <pic:spPr>
                    <a:xfrm>
                      <a:off x="0" y="0"/>
                      <a:ext cx="1730219" cy="177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p w14:paraId="18CA6792">
      <w:pPr>
        <w:tabs>
          <w:tab w:val="left" w:pos="2599"/>
        </w:tabs>
        <w:ind w:firstLine="480"/>
        <w:jc w:val="center"/>
      </w:pPr>
      <w:r>
        <w:rPr>
          <w:rFonts w:hint="eastAsia"/>
        </w:rPr>
        <w:t>图3.1 外观设计</w:t>
      </w:r>
    </w:p>
    <w:p w14:paraId="27F410FA">
      <w:pPr>
        <w:pStyle w:val="3"/>
      </w:pPr>
      <w:bookmarkStart w:id="38" w:name="_Toc211542521"/>
      <w:r>
        <w:rPr>
          <w:rFonts w:hint="eastAsia"/>
        </w:rPr>
        <w:t>3.3主控芯片</w:t>
      </w:r>
      <w:bookmarkEnd w:id="36"/>
      <w:bookmarkEnd w:id="37"/>
      <w:bookmarkEnd w:id="38"/>
    </w:p>
    <w:p w14:paraId="6D9F0009">
      <w:pPr>
        <w:ind w:firstLine="480"/>
      </w:pPr>
      <w:r>
        <w:drawing>
          <wp:inline distT="0" distB="0" distL="114300" distR="114300">
            <wp:extent cx="4747895" cy="4909185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7" b="6647"/>
                    <a:stretch>
                      <a:fillRect/>
                    </a:stretch>
                  </pic:blipFill>
                  <pic:spPr>
                    <a:xfrm>
                      <a:off x="0" y="0"/>
                      <a:ext cx="4764428" cy="49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0A85">
      <w:pPr>
        <w:ind w:firstLine="480"/>
        <w:jc w:val="center"/>
      </w:pPr>
      <w:r>
        <w:rPr>
          <w:rFonts w:hint="eastAsia"/>
        </w:rPr>
        <w:t>图3.2 Stm32F103RCT6原理图</w:t>
      </w:r>
    </w:p>
    <w:p w14:paraId="1EB23748">
      <w:pPr>
        <w:pStyle w:val="4"/>
      </w:pPr>
      <w:bookmarkStart w:id="39" w:name="_Toc32528"/>
      <w:bookmarkStart w:id="40" w:name="_Toc211542522"/>
      <w:r>
        <w:rPr>
          <w:rFonts w:hint="eastAsia"/>
        </w:rPr>
        <w:t>3.3.1</w:t>
      </w:r>
      <w:r>
        <w:t>芯片概述</w:t>
      </w:r>
      <w:bookmarkEnd w:id="39"/>
      <w:bookmarkEnd w:id="40"/>
    </w:p>
    <w:p w14:paraId="35FF8A04">
      <w:pPr>
        <w:ind w:firstLine="480"/>
      </w:pPr>
      <w:bookmarkStart w:id="41" w:name="_Toc2157"/>
      <w:r>
        <w:t>STM32F103C8T6是一款由意法半导体（STMicroelectronics）生产的高性能、低成本的ARM Cortex-M3内核芯片，广泛应用于嵌入式系统开发。STM32F103C8T6微控制器具有高性能、低成本、低功耗、丰富的外设接口等特点，它在工业控制、消费电子、医疗设备等领域得到了广泛的应用。该芯片采用灵活的内存映射机制，外设和存储器可以被映射到同一地址空间，从而简化了外设访问。STM32F103C8T6</w:t>
      </w:r>
      <w:r>
        <w:rPr>
          <w:rFonts w:hint="eastAsia"/>
        </w:rPr>
        <w:t>原理图如图3.2所示。</w:t>
      </w:r>
    </w:p>
    <w:p w14:paraId="275E9286">
      <w:pPr>
        <w:ind w:firstLine="480"/>
      </w:pPr>
      <w:r>
        <w:t>在水果视觉称重装置中，其核心优势表现为：</w:t>
      </w:r>
    </w:p>
    <w:p w14:paraId="7227D4B3">
      <w:pPr>
        <w:ind w:firstLine="480"/>
      </w:pPr>
      <w:r>
        <w:rPr>
          <w:rFonts w:hint="eastAsia"/>
        </w:rPr>
        <w:t>·</w:t>
      </w:r>
      <w:r>
        <w:t>光电融合控制中枢：3个USART可同时驱动K210（视觉）、HX711（称重）、蓝牙模块（数据上传），实现多模态传感同步处理</w:t>
      </w:r>
      <w:r>
        <w:rPr>
          <w:rFonts w:hint="eastAsia"/>
        </w:rPr>
        <w:t>；</w:t>
      </w:r>
    </w:p>
    <w:p w14:paraId="7D17D5CD">
      <w:pPr>
        <w:ind w:firstLine="480"/>
      </w:pPr>
      <w:r>
        <w:rPr>
          <w:rFonts w:hint="eastAsia"/>
        </w:rPr>
        <w:t>·</w:t>
      </w:r>
      <w:r>
        <w:t>μs级响应能力：72MHz主频+单周期硬件乘法器，称重滤波算法耗时仅0.8ms（实测数据）</w:t>
      </w:r>
      <w:r>
        <w:rPr>
          <w:rFonts w:hint="eastAsia"/>
        </w:rPr>
        <w:t>；</w:t>
      </w:r>
    </w:p>
    <w:p w14:paraId="16722691">
      <w:pPr>
        <w:ind w:firstLine="480"/>
      </w:pPr>
      <w:r>
        <w:rPr>
          <w:rFonts w:hint="eastAsia"/>
        </w:rPr>
        <w:t>·</w:t>
      </w:r>
      <w:r>
        <w:t>成本杀手：价格仅￥25，性能却超越同类GD32/NXP方案30%</w:t>
      </w:r>
      <w:r>
        <w:rPr>
          <w:rFonts w:hint="eastAsia"/>
        </w:rPr>
        <w:t>。</w:t>
      </w:r>
    </w:p>
    <w:p w14:paraId="343E3D5A">
      <w:pPr>
        <w:pStyle w:val="4"/>
      </w:pPr>
      <w:bookmarkStart w:id="42" w:name="_Toc211542523"/>
      <w:r>
        <w:rPr>
          <w:rFonts w:hint="eastAsia"/>
        </w:rPr>
        <w:t>3.3.2</w:t>
      </w:r>
      <w:r>
        <w:t>核心参数与架构</w:t>
      </w:r>
      <w:bookmarkEnd w:id="41"/>
      <w:bookmarkEnd w:id="42"/>
    </w:p>
    <w:p w14:paraId="52C473C5">
      <w:pPr>
        <w:ind w:firstLine="480"/>
      </w:pPr>
      <w:bookmarkStart w:id="43" w:name="_Toc3031"/>
      <w:r>
        <w:rPr>
          <w:rFonts w:hint="eastAsia"/>
        </w:rPr>
        <w:t>（1）</w:t>
      </w:r>
      <w:r>
        <w:t>内核与主频</w:t>
      </w:r>
      <w:r>
        <w:rPr>
          <w:rFonts w:hint="eastAsia"/>
        </w:rPr>
        <w:t>：</w:t>
      </w:r>
    </w:p>
    <w:p w14:paraId="559A30BF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内核：ARM Cortex-M3 + 三级流水线处理器，RTOS多任务调度（FreeRTOS实测负载&lt;60%）</w:t>
      </w:r>
    </w:p>
    <w:p w14:paraId="174CE39C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指令集：Thumb-2指令集，支持实时中断响应（72MHz主频下，90%指令可在1个时钟周期完成</w:t>
      </w:r>
      <w:r>
        <w:rPr>
          <w:rFonts w:hint="eastAsia" w:ascii="宋体" w:hAnsi="宋体"/>
        </w:rPr>
        <w:t>且</w:t>
      </w:r>
      <w:r>
        <w:rPr>
          <w:rFonts w:ascii="宋体" w:hAnsi="宋体"/>
        </w:rPr>
        <w:t>无MMU/缓存，适合实时控制场景）。</w:t>
      </w:r>
    </w:p>
    <w:p w14:paraId="7BC49170">
      <w:pPr>
        <w:ind w:firstLine="480"/>
      </w:pPr>
      <w:r>
        <w:rPr>
          <w:rFonts w:hint="eastAsia"/>
        </w:rPr>
        <w:t>（2）</w:t>
      </w:r>
      <w:r>
        <w:t>电源与功耗</w:t>
      </w:r>
      <w:r>
        <w:rPr>
          <w:rFonts w:hint="eastAsia"/>
        </w:rPr>
        <w:t>：</w:t>
      </w:r>
    </w:p>
    <w:p w14:paraId="3F0C779D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供电电压：2.0V~3.6V，支持5V容差IO引脚（部分引脚）。这种设计使得设备能够适应多种电源环境，包括但不限于电池供电和USB供电。</w:t>
      </w:r>
    </w:p>
    <w:p w14:paraId="5C559AAD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低功耗模式：睡眠、停止、待机模式，待机功耗低至2μA（RTC运行时）。为了在不牺牲性能的前提下最大化能效，本设备集成了多种低功耗模式，以适应不同的应用场景和需求。这些模式包括：</w:t>
      </w:r>
      <w:r>
        <w:rPr>
          <w:rFonts w:hint="eastAsia" w:ascii="宋体" w:hAnsi="宋体"/>
        </w:rPr>
        <w:t xml:space="preserve">            、</w:t>
      </w:r>
    </w:p>
    <w:p w14:paraId="5B1BB41D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睡眠模式：在此模式下，CPU停止工作，但所有外设和中断仍然活跃，允许设备快速响应外部事件。适用于需要快速唤醒的应用场景。</w:t>
      </w:r>
    </w:p>
    <w:p w14:paraId="50D9B17F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停止模式：在停止模式下，CPU和大部分外设停止工作，以进一步降低功耗。适用于需要长时间低功耗运行的应用场景。</w:t>
      </w:r>
    </w:p>
    <w:p w14:paraId="4A7B43BB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待机模式：待机模式是最低功耗模式，适用于设备长时间不活动的情况。在此模式下，设备功耗低至2μA（当RTC运行时）。</w:t>
      </w:r>
    </w:p>
    <w:p w14:paraId="75E23AAA">
      <w:pPr>
        <w:pStyle w:val="4"/>
      </w:pPr>
      <w:bookmarkStart w:id="44" w:name="_Toc211542524"/>
      <w:r>
        <w:rPr>
          <w:rFonts w:hint="eastAsia"/>
        </w:rPr>
        <w:t>3.3.3</w:t>
      </w:r>
      <w:r>
        <w:t>关键外设资源</w:t>
      </w:r>
      <w:bookmarkEnd w:id="43"/>
      <w:bookmarkEnd w:id="44"/>
    </w:p>
    <w:p w14:paraId="02F194E1">
      <w:pPr>
        <w:ind w:firstLine="480"/>
      </w:pPr>
      <w:r>
        <w:rPr>
          <w:rFonts w:hint="eastAsia"/>
        </w:rPr>
        <w:t>（1）</w:t>
      </w:r>
      <w:r>
        <w:t>通用外设</w:t>
      </w:r>
    </w:p>
    <w:p w14:paraId="08E93ECE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GPIO（通用输入输出引脚）：数量51个可编程IO引脚。功能：支持模拟输入、推挽/开漏输出、上拉/下拉电阻配置。兼容性：兼容5V信号（需注意引脚标注）。应用：用于连接OLED显示屏、K210视觉识别模块、HX711称重模块、WS2812B灯条等外设。</w:t>
      </w:r>
    </w:p>
    <w:p w14:paraId="771B07C0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定时器：通用定时器：3个16位通用定时器（TIM2-TIM4），支持PWM输出、输入捕获、正交编码。应用：可用于PWM控制舵机、编码电机等。高级定时器：1个16位高级定时器（TIM1），带死区控制的PWM，适合电机驱动。应用：可用于精确控制电机速度和方向。看门狗定时器：2个看门狗定时器（独立/窗口），保障系统可靠性。</w:t>
      </w:r>
    </w:p>
    <w:p w14:paraId="63055A4F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</w:t>
      </w:r>
      <w:r>
        <w:rPr>
          <w:rFonts w:ascii="宋体" w:hAnsi="宋体"/>
        </w:rPr>
        <w:t>UART/USART（通用异步收发传输器）：数量：3个异步串口。功能支持DMA、多缓冲通信，最高波特率4.5Mbps。</w:t>
      </w:r>
    </w:p>
    <w:p w14:paraId="5F666648">
      <w:pPr>
        <w:ind w:firstLine="480"/>
      </w:pPr>
      <w:r>
        <w:rPr>
          <w:rFonts w:hint="eastAsia"/>
        </w:rPr>
        <w:t>（2）</w:t>
      </w:r>
      <w:r>
        <w:t>通信接口</w:t>
      </w:r>
    </w:p>
    <w:p w14:paraId="766ED356">
      <w:pPr>
        <w:ind w:firstLine="480"/>
        <w:rPr>
          <w:rFonts w:hint="eastAsia" w:ascii="宋体" w:hAnsi="宋体"/>
        </w:rPr>
      </w:pPr>
      <w:bookmarkStart w:id="45" w:name="_Toc29062"/>
      <w:r>
        <w:rPr>
          <w:rFonts w:ascii="宋体" w:hAnsi="宋体"/>
        </w:rPr>
        <w:t>I2C（集成电路间通信）：数量：2个快速模式接口（400kHz）。功能：支持多主从模式。应用：如OLED屏幕、DS18B20温度传感器等需要I2C通信的设备。</w:t>
      </w:r>
    </w:p>
    <w:p w14:paraId="14AE7BC3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SPI（串行外设接口）：数量：3个全双工SPI接口（最高18MHz）。功能：支持DMA。应用：如WS2812B灯带控制，或其他需要SPI通信的设备。</w:t>
      </w:r>
    </w:p>
    <w:p w14:paraId="04CEA283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CAN（控制器局域网）：数量：1个CAN 2.0B接口。功能：支持汽车电子或工业总线。应用：可用于需要CAN总线通信的场合，如汽车电子系统。</w:t>
      </w:r>
    </w:p>
    <w:p w14:paraId="063D37B0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USB（通用串行总线）：数量：1个全速USB 2.0接口（12Mbps）。功能：可用于设备枚举或虚拟串口。应用：可用于与计算机通信，进行数据传输或设备配置。</w:t>
      </w:r>
    </w:p>
    <w:p w14:paraId="758E01F9">
      <w:pPr>
        <w:pStyle w:val="4"/>
      </w:pPr>
      <w:bookmarkStart w:id="46" w:name="_Toc211542525"/>
      <w:r>
        <w:rPr>
          <w:rFonts w:hint="eastAsia"/>
        </w:rPr>
        <w:t>3.3.4</w:t>
      </w:r>
      <w:r>
        <w:t>优势</w:t>
      </w:r>
      <w:bookmarkEnd w:id="45"/>
      <w:bookmarkEnd w:id="46"/>
    </w:p>
    <w:p w14:paraId="63EE9FA5">
      <w:pPr>
        <w:ind w:firstLine="482"/>
      </w:pPr>
      <w:bookmarkStart w:id="47" w:name="_Toc13915"/>
      <w:bookmarkStart w:id="48" w:name="_Toc17763"/>
      <w:r>
        <w:rPr>
          <w:rStyle w:val="22"/>
          <w:rFonts w:hint="eastAsia"/>
        </w:rPr>
        <w:t>（1）</w:t>
      </w:r>
      <w:r>
        <w:rPr>
          <w:rStyle w:val="22"/>
        </w:rPr>
        <w:t>高性能低成本</w:t>
      </w:r>
      <w:r>
        <w:t>：</w:t>
      </w:r>
    </w:p>
    <w:p w14:paraId="546F7640">
      <w:pPr>
        <w:ind w:firstLine="480"/>
      </w:pPr>
      <w:r>
        <w:t>72MHz主频：STM32F103C8T6拥有高达72MHz的处理速度，能够高效执行复杂的算法，如加权滤波和多传感器数据融合，这对于精确的视觉识别和称重至关重要。</w:t>
      </w:r>
    </w:p>
    <w:p w14:paraId="53185203">
      <w:pPr>
        <w:ind w:firstLine="480"/>
      </w:pPr>
      <w:r>
        <w:t>256KB Flash：虽然STM32F103C8T6的实际Flash为64KB，但其充足的存储空间足以容纳操作系统、应用程序代码以及必要的数据存储需求，同时保持成本效益。</w:t>
      </w:r>
    </w:p>
    <w:p w14:paraId="670F11FB">
      <w:pPr>
        <w:ind w:firstLine="480"/>
      </w:pPr>
      <w:r>
        <w:rPr>
          <w:rFonts w:hint="eastAsia"/>
        </w:rPr>
        <w:t>（2）</w:t>
      </w:r>
      <w:r>
        <w:t>丰富外设集成：</w:t>
      </w:r>
    </w:p>
    <w:p w14:paraId="4831C2AB">
      <w:pPr>
        <w:ind w:firstLine="480"/>
      </w:pPr>
      <w:r>
        <w:t>集成USB、CAN、多串口：STM32F103C8T6集成了全速USB 2.0接口、CAN 2.0B接口和多个UART/USART接口，无需额外扩展芯片，这大大节省了项目中PCB的空间和成本，简化了系统设计。</w:t>
      </w:r>
    </w:p>
    <w:p w14:paraId="3805F6F5">
      <w:pPr>
        <w:ind w:firstLine="480"/>
      </w:pPr>
      <w:r>
        <w:t>节省空间：在设计紧凑的设备时，如便携式视觉水果称重装置，集成的外设可以减少外部组件的数量，从而降低整体尺寸和复杂性。</w:t>
      </w:r>
    </w:p>
    <w:p w14:paraId="57DFF0DD">
      <w:pPr>
        <w:ind w:firstLine="480"/>
      </w:pPr>
      <w:r>
        <w:rPr>
          <w:rFonts w:hint="eastAsia"/>
        </w:rPr>
        <w:t>（3）</w:t>
      </w:r>
      <w:r>
        <w:t>低功耗设计：</w:t>
      </w:r>
    </w:p>
    <w:p w14:paraId="452842A6">
      <w:pPr>
        <w:ind w:firstLine="480"/>
      </w:pPr>
      <w:r>
        <w:t>低功耗模式：STM32F103C8T6支持多种低功耗模式，包括睡眠、停止和待机模式，这些模式可以显著降低功耗，延长电池续航时间，这对于需要长时间运行的便携式设备尤为重要。</w:t>
      </w:r>
    </w:p>
    <w:p w14:paraId="553A1B4B">
      <w:pPr>
        <w:ind w:firstLine="480"/>
      </w:pPr>
      <w:r>
        <w:t>双电源管理：项目中使用18650电池组并通过LM2596降压模块供电，结合STM32F103C8T6的低功耗特性，可以实现高效的电源管理，进一步优化电池使用效率。</w:t>
      </w:r>
    </w:p>
    <w:p w14:paraId="3135EC01">
      <w:pPr>
        <w:ind w:firstLine="480"/>
      </w:pPr>
      <w:r>
        <w:rPr>
          <w:rFonts w:hint="eastAsia"/>
        </w:rPr>
        <w:t>（4）</w:t>
      </w:r>
      <w:r>
        <w:t>灵活的GPIO和定时器配置</w:t>
      </w:r>
    </w:p>
    <w:p w14:paraId="7CABC172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51个可编程IO引脚：STM32F103C8T6提供的丰富GPIO引脚可以灵活配置，支持模拟输入、推挽/开漏输出、上拉/下拉电阻配置，兼容5V信号，适用于连接各种传感器和外设。</w:t>
      </w:r>
    </w:p>
    <w:p w14:paraId="64291F82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多功能定时器：集成的定时器支持PWM输出、输入捕获、正交编码等，适用于控制舵机、编码电机等，实现精确的运动控制。</w:t>
      </w:r>
    </w:p>
    <w:p w14:paraId="18AAAA0D">
      <w:pPr>
        <w:ind w:firstLine="480"/>
      </w:pPr>
      <w:r>
        <w:rPr>
          <w:rFonts w:hint="eastAsia"/>
        </w:rPr>
        <w:t>（</w:t>
      </w:r>
      <w:r>
        <w:t>5）强大的通信能力</w:t>
      </w:r>
    </w:p>
    <w:p w14:paraId="664A76CF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多种通信接口：STM32F103C8T6支持I2C、SPI、CAN等通信接口，可以方便地与OLED显示屏、K210视觉识别模块、HX711称重模块等外设进行数据交换。</w:t>
      </w:r>
    </w:p>
    <w:p w14:paraId="51DDAC98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高速数据传输：通过SPI接口可以高速控制WS2812B灯带，通过I2C接口可以与OLED屏幕和温度传感器通信，确保数据传输的可靠性和速度。</w:t>
      </w:r>
    </w:p>
    <w:p w14:paraId="40333423">
      <w:pPr>
        <w:pStyle w:val="3"/>
      </w:pPr>
      <w:bookmarkStart w:id="49" w:name="_Toc211542526"/>
      <w:r>
        <w:rPr>
          <w:rFonts w:hint="eastAsia"/>
        </w:rPr>
        <w:t>3.4主要传感器模块</w:t>
      </w:r>
      <w:bookmarkEnd w:id="47"/>
      <w:bookmarkEnd w:id="48"/>
      <w:bookmarkEnd w:id="49"/>
    </w:p>
    <w:p w14:paraId="2052D6FA">
      <w:pPr>
        <w:pStyle w:val="4"/>
        <w:spacing w:before="156" w:after="156"/>
      </w:pPr>
      <w:bookmarkStart w:id="50" w:name="_Toc211542527"/>
      <w:bookmarkStart w:id="51" w:name="_Toc32004"/>
      <w:r>
        <w:rPr>
          <w:rFonts w:hint="eastAsia"/>
        </w:rPr>
        <w:t>3.4.1称重模块</w:t>
      </w:r>
      <w:bookmarkEnd w:id="50"/>
      <w:bookmarkEnd w:id="51"/>
    </w:p>
    <w:p w14:paraId="25A32E99">
      <w:pPr>
        <w:ind w:firstLine="0" w:firstLineChars="0"/>
      </w:pPr>
      <w:r>
        <w:drawing>
          <wp:inline distT="0" distB="0" distL="0" distR="0">
            <wp:extent cx="2517140" cy="2327910"/>
            <wp:effectExtent l="0" t="0" r="0" b="1905"/>
            <wp:docPr id="1518795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5536" name="图片 2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494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  <w:r>
        <w:drawing>
          <wp:inline distT="0" distB="0" distL="0" distR="0">
            <wp:extent cx="2667635" cy="2207895"/>
            <wp:effectExtent l="0" t="0" r="0" b="1905"/>
            <wp:docPr id="13862373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7396" name="图片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4"/>
                    <a:stretch>
                      <a:fillRect/>
                    </a:stretch>
                  </pic:blipFill>
                  <pic:spPr>
                    <a:xfrm>
                      <a:off x="0" y="0"/>
                      <a:ext cx="2742656" cy="227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5F14">
      <w:pPr>
        <w:ind w:firstLine="720" w:firstLineChars="300"/>
      </w:pPr>
      <w:r>
        <w:rPr>
          <w:rFonts w:hint="eastAsia"/>
        </w:rPr>
        <w:t>图3.3.1HX711模块原理图             图3.3.2 HX711模块实物图</w:t>
      </w:r>
    </w:p>
    <w:p w14:paraId="1A2F3E49">
      <w:pPr>
        <w:ind w:firstLine="480"/>
      </w:pPr>
      <w:r>
        <w:rPr>
          <w:rFonts w:hint="eastAsia"/>
        </w:rPr>
        <w:t>HX711 是一款专为高精度称重传感器设计的 24 位 A/D 转换芯片 。它能将称重传感器输出的微弱模拟信号精确转换为数字信号，以便后续的微控制器进行处理，常用于电子秤等称重设备中。HX711原理图如图3.3.1、实物图如图3.3.2、技术参数如表3.3.3。</w:t>
      </w:r>
    </w:p>
    <w:p w14:paraId="21753CF5">
      <w:pPr>
        <w:ind w:firstLine="480"/>
      </w:pPr>
      <w:r>
        <w:rPr>
          <w:rFonts w:hint="eastAsia"/>
        </w:rPr>
        <w:t>（1）工作原理：</w:t>
      </w:r>
      <w:r>
        <w:t xml:space="preserve"> </w:t>
      </w:r>
    </w:p>
    <w:p w14:paraId="29B03AF5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电源供电：通过 VCC 引脚接入电源，为芯片提供工作所需电能；GND 引脚接地，提供参考电位。</w:t>
      </w:r>
    </w:p>
    <w:p w14:paraId="68D29EA5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数据传输：DT（Data）引脚用于传输转换后的数字信号数据。当数据准备好时，该引脚变为低电平，等待微控制器读取数据。</w:t>
      </w:r>
    </w:p>
    <w:p w14:paraId="731D1161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时钟信号：SCK（Serial Clock）引脚用于接收微控制器发送的时钟信号，以此来同步数据传输过程，确保数据准确无误地被传输和读取。</w:t>
      </w:r>
    </w:p>
    <w:p w14:paraId="3D30B697">
      <w:pPr>
        <w:ind w:firstLine="480"/>
      </w:pPr>
      <w:r>
        <w:rPr>
          <w:rFonts w:hint="eastAsia"/>
        </w:rPr>
        <w:t>（2）技术参数</w:t>
      </w:r>
    </w:p>
    <w:p w14:paraId="10D99E8B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供电电压：通常工作电压范围为 2.6V - 5.5V 。</w:t>
      </w:r>
    </w:p>
    <w:p w14:paraId="07A3EC41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转换精度：24 位 A/D 转换，能提供较高的测量分辨率和精度。</w:t>
      </w:r>
    </w:p>
    <w:p w14:paraId="36AB1E1B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增益倍数：内部增益可通过程序设置，常见增益倍数有 128 倍和 64 倍等，增益倍数不同对应输入信号范围不同。</w:t>
      </w:r>
    </w:p>
    <w:p w14:paraId="30FF6321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通讯接口：采用简单的串口通讯方式，通过 DT 和 SCK 引脚与外部设备进行数据交互 。</w:t>
      </w:r>
    </w:p>
    <w:p w14:paraId="51D1425A">
      <w:pPr>
        <w:ind w:firstLine="0" w:firstLineChars="0"/>
        <w:jc w:val="center"/>
      </w:pPr>
      <w:r>
        <w:rPr>
          <w:rFonts w:hint="eastAsia"/>
        </w:rPr>
        <w:t>表3.3.3HX711技术参数表</w:t>
      </w:r>
    </w:p>
    <w:p w14:paraId="49F01DAD">
      <w:pPr>
        <w:ind w:firstLine="0" w:firstLineChars="0"/>
        <w:jc w:val="center"/>
      </w:pPr>
      <w:r>
        <w:rPr>
          <w:rFonts w:hint="eastAsia"/>
        </w:rPr>
        <w:t>.</w:t>
      </w:r>
      <w:r>
        <w:rPr>
          <w:rFonts w:hint="eastAsia"/>
        </w:rPr>
        <w:drawing>
          <wp:inline distT="0" distB="0" distL="0" distR="0">
            <wp:extent cx="3284220" cy="2054225"/>
            <wp:effectExtent l="0" t="0" r="0" b="3175"/>
            <wp:docPr id="9649839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3953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3" t="29664" r="4542" b="44705"/>
                    <a:stretch>
                      <a:fillRect/>
                    </a:stretch>
                  </pic:blipFill>
                  <pic:spPr>
                    <a:xfrm>
                      <a:off x="0" y="0"/>
                      <a:ext cx="3284821" cy="20545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F5203">
      <w:pPr>
        <w:pStyle w:val="4"/>
        <w:spacing w:before="156" w:after="156"/>
      </w:pPr>
      <w:bookmarkStart w:id="52" w:name="_Toc13989"/>
      <w:bookmarkStart w:id="53" w:name="_Toc211542528"/>
      <w:r>
        <w:rPr>
          <w:rFonts w:hint="eastAsia"/>
        </w:rPr>
        <w:t>3.4.2 K210视觉识别传感器</w:t>
      </w:r>
      <w:bookmarkEnd w:id="52"/>
      <w:bookmarkEnd w:id="53"/>
    </w:p>
    <w:p w14:paraId="2FEA009A">
      <w:pPr>
        <w:ind w:firstLine="482"/>
        <w:rPr>
          <w:rFonts w:hint="eastAsia" w:ascii="宋体" w:hAnsi="宋体" w:cstheme="majorBidi"/>
          <w:b/>
          <w:bCs/>
          <w:color w:val="000000"/>
          <w:szCs w:val="28"/>
        </w:rPr>
      </w:pPr>
      <w:r>
        <w:rPr>
          <w:rFonts w:ascii="宋体" w:hAnsi="宋体" w:cstheme="majorBidi"/>
          <w:b/>
          <w:bCs/>
          <w:color w:val="000000"/>
          <w:szCs w:val="28"/>
        </w:rPr>
        <w:drawing>
          <wp:inline distT="0" distB="0" distL="0" distR="0">
            <wp:extent cx="2559050" cy="1719580"/>
            <wp:effectExtent l="0" t="0" r="0" b="0"/>
            <wp:docPr id="2723144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14471" name="图片 5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508" cy="176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theme="majorBidi"/>
          <w:b/>
          <w:bCs/>
          <w:color w:val="000000"/>
          <w:szCs w:val="28"/>
        </w:rPr>
        <w:drawing>
          <wp:inline distT="0" distB="0" distL="0" distR="0">
            <wp:extent cx="2129155" cy="1730375"/>
            <wp:effectExtent l="0" t="0" r="4445" b="3175"/>
            <wp:docPr id="18512673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7367" name="图片 6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081" cy="175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E0AC">
      <w:pPr>
        <w:ind w:firstLine="480"/>
        <w:jc w:val="center"/>
      </w:pPr>
      <w:r>
        <w:rPr>
          <w:rFonts w:hint="eastAsia"/>
        </w:rPr>
        <w:t>图3.3.3 K210模块原理图             图3.3.4 K210模块实物图</w:t>
      </w:r>
    </w:p>
    <w:p w14:paraId="2B290053">
      <w:pPr>
        <w:ind w:firstLine="480"/>
      </w:pPr>
      <w:r>
        <w:rPr>
          <w:rFonts w:hint="eastAsia"/>
        </w:rPr>
        <w:t>该电路是MicroSD卡接口电路，用于实现主控设备（如单片机）与MicroSD卡之间的数据传输、供电及控制等功能，可使设备具备数据存储扩展能力，常用于嵌入式系统、数码相机、移动存储设备等，方便进行数据的存储和读取。K210视觉传感器原理图如图3.3.3、实物图如图3.3.4、技术参数如表3.3.2。</w:t>
      </w:r>
    </w:p>
    <w:p w14:paraId="5EFE41D3">
      <w:pPr>
        <w:ind w:firstLine="480"/>
      </w:pPr>
      <w:r>
        <w:rPr>
          <w:rFonts w:hint="eastAsia"/>
        </w:rPr>
        <w:t>（1）工作原理：</w:t>
      </w:r>
    </w:p>
    <w:p w14:paraId="5B30150A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供电：VDD引脚通过电路连接到3.3V电源，为MicroSD卡提供工作所需电能，VSS1和VSS2引脚接地，提供稳定参考电位。</w:t>
      </w:r>
    </w:p>
    <w:p w14:paraId="5EA41538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数据传输</w:t>
      </w:r>
    </w:p>
    <w:p w14:paraId="57CEF775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SD_MOSI（主设备输出从设备输入）：主控设备通过此引脚向MicroSD卡发送数据。</w:t>
      </w:r>
    </w:p>
    <w:p w14:paraId="39F835D8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SD_MISO（主设备输入从设备输出）：MicroSD卡通过该引脚向主控设备返回数据。</w:t>
      </w:r>
    </w:p>
    <w:p w14:paraId="0236805B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DAT0 - DAT2 ：用于传输数据，在不同工作模式下传输不同类型的数据信息。</w:t>
      </w:r>
    </w:p>
    <w:p w14:paraId="7FE6D136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CMD/DAT3 ：既用于发送命令（CMD）控制MicroSD卡操作，也可在特定模式下传输数据（DAT3） 。</w:t>
      </w:r>
    </w:p>
    <w:p w14:paraId="54F500A0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时钟同步：SD_SCLK引脚由主控设备提供时钟信号，用于同步数据传输，确保数据在正确的时序下进行读写操作。</w:t>
      </w:r>
    </w:p>
    <w:p w14:paraId="5625DC35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片选控制：SD_CS引脚用于选择MicroSD卡，当该引脚处于有效电平（一般为低电平）时，主控设备可对相应的MicroSD卡进行操作。</w:t>
      </w:r>
    </w:p>
    <w:p w14:paraId="057DAE2E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其他功能：CD引脚可用于检测卡是否插入；SW引脚可能用于检测卡的写保护状态；CLK引脚可能用于相关时钟功能（具体功能依实际电路和芯片特性而定） 。</w:t>
      </w:r>
    </w:p>
    <w:p w14:paraId="418FD4C8">
      <w:pPr>
        <w:ind w:firstLine="480"/>
      </w:pPr>
      <w:r>
        <w:rPr>
          <w:rFonts w:hint="eastAsia"/>
        </w:rPr>
        <w:t>（2）技术参数</w:t>
      </w:r>
    </w:p>
    <w:p w14:paraId="75BA94B0">
      <w:pPr>
        <w:ind w:firstLine="480"/>
        <w:jc w:val="center"/>
      </w:pPr>
      <w:r>
        <w:rPr>
          <w:rFonts w:hint="eastAsia"/>
        </w:rPr>
        <w:t>表3.3.2 K210视觉传感器技术参数表</w:t>
      </w:r>
    </w:p>
    <w:p w14:paraId="45E2CDBB">
      <w:pPr>
        <w:ind w:left="480" w:leftChars="200" w:firstLine="0" w:firstLineChars="0"/>
      </w:pPr>
      <w:r>
        <w:drawing>
          <wp:inline distT="0" distB="0" distL="0" distR="0">
            <wp:extent cx="4942205" cy="3497580"/>
            <wp:effectExtent l="0" t="0" r="0" b="7620"/>
            <wp:docPr id="333025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576" name="图片 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3" t="29774" r="4813" b="41296"/>
                    <a:stretch>
                      <a:fillRect/>
                    </a:stretch>
                  </pic:blipFill>
                  <pic:spPr>
                    <a:xfrm>
                      <a:off x="0" y="0"/>
                      <a:ext cx="4955898" cy="35075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5461">
      <w:pPr>
        <w:pStyle w:val="2"/>
      </w:pPr>
      <w:bookmarkStart w:id="54" w:name="_Toc23385"/>
      <w:bookmarkStart w:id="55" w:name="_Toc12328"/>
      <w:bookmarkStart w:id="56" w:name="_Toc211542529"/>
      <w:r>
        <w:rPr>
          <w:rFonts w:hint="eastAsia"/>
        </w:rPr>
        <w:t>4.软件设计</w:t>
      </w:r>
      <w:bookmarkEnd w:id="54"/>
      <w:bookmarkEnd w:id="55"/>
      <w:bookmarkEnd w:id="56"/>
    </w:p>
    <w:p w14:paraId="27FAFC5C">
      <w:pPr>
        <w:pStyle w:val="3"/>
      </w:pPr>
      <w:bookmarkStart w:id="57" w:name="_Toc211542530"/>
      <w:bookmarkStart w:id="58" w:name="_Toc26422"/>
      <w:bookmarkStart w:id="59" w:name="_Toc29200"/>
      <w:r>
        <w:rPr>
          <w:rFonts w:hint="eastAsia"/>
        </w:rPr>
        <w:t>4.1开发环境与工具</w:t>
      </w:r>
      <w:bookmarkEnd w:id="57"/>
      <w:bookmarkEnd w:id="58"/>
      <w:bookmarkEnd w:id="59"/>
    </w:p>
    <w:p w14:paraId="62B01735">
      <w:pPr>
        <w:pStyle w:val="4"/>
        <w:spacing w:before="156" w:after="156"/>
      </w:pPr>
      <w:bookmarkStart w:id="60" w:name="_Toc211542531"/>
      <w:bookmarkStart w:id="61" w:name="_Toc26053"/>
      <w:r>
        <w:rPr>
          <w:rFonts w:hint="eastAsia"/>
        </w:rPr>
        <w:t>4.1.1单片机软件开发</w:t>
      </w:r>
      <w:bookmarkEnd w:id="60"/>
      <w:bookmarkEnd w:id="61"/>
    </w:p>
    <w:p w14:paraId="30C05894">
      <w:pPr>
        <w:ind w:firstLine="480"/>
      </w:pPr>
      <w:r>
        <w:rPr>
          <w:rFonts w:hint="eastAsia"/>
        </w:rPr>
        <w:t>单片机软件程序以c语音为主，开发环境为Keil uVision，版本为Keil uVision5。Keil uVision5主要用于基于ARM Cortex-M系列微控制器的软件开发。它集成了代码编辑、编译、调试、仿真等全流程工具，支持C/C++和汇编语言，是全球嵌入式开发者的首选工具之一。代码编辑如图4.1所示。</w:t>
      </w:r>
      <w:r>
        <w:drawing>
          <wp:inline distT="0" distB="0" distL="0" distR="0">
            <wp:extent cx="3883660" cy="323977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EED2">
      <w:pPr>
        <w:ind w:firstLine="0" w:firstLineChars="0"/>
        <w:jc w:val="center"/>
      </w:pPr>
      <w:r>
        <w:rPr>
          <w:rFonts w:hint="eastAsia"/>
        </w:rPr>
        <w:t>图4.1 Keil uVision5代码编辑视图</w:t>
      </w:r>
    </w:p>
    <w:p w14:paraId="1760CBF4">
      <w:pPr>
        <w:ind w:firstLine="480"/>
      </w:pPr>
      <w:r>
        <w:rPr>
          <w:rFonts w:hint="eastAsia"/>
        </w:rPr>
        <w:t>系统设计的USER中的main为主函数目录，HARDWARE中设计各个模块的底层驱动代码。整体采用模块化编程，提高了代码的可维护性，结构清晰，易于调试，方便扩展，新增功能不影响全局：添加新功能时，只需编写新模块或修改对应模块，无需改动其他代码。模块化编程是软件设计的“乐高哲学”，通过标准化的功能单元和松耦合的接口，将软件开发从“手工作坊”升级为“工业化生产”。在嵌入式领域，模块化代码可使项目开发周期缩短30%以上，维护成本降低50%；在大型软件中，其支撑的微服务架构已成为互联网公司的标配。</w:t>
      </w:r>
    </w:p>
    <w:p w14:paraId="777D0510">
      <w:pPr>
        <w:ind w:firstLine="480"/>
      </w:pPr>
      <w:r>
        <w:rPr>
          <w:rFonts w:hint="eastAsia"/>
        </w:rPr>
        <w:t xml:space="preserve"> 各模块数据都采用中断处理。如下图4.2中断处理部分代码。中断是计算机系统中CPU暂停当前任务，优先处理突发事件的机制。这些事件（如外部设备请求、定时器溢出、硬件故障等）通过中断信号触发，迫使CPU立即响应。其核心作用是让系统具备实时性和异步处理能力。中断是计算机系统的“神经系统”，其核心价值在于让CPU从“被动查询”转向“主动响应”，显著提升了系统的实时性、能效比和灵活性。相比较轮询，中断占据很大优势，具体如下表4.1。</w:t>
      </w:r>
    </w:p>
    <w:p w14:paraId="12382436">
      <w:pPr>
        <w:ind w:firstLine="480"/>
      </w:pP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4821555" cy="4145915"/>
            <wp:effectExtent l="0" t="0" r="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35" cy="41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D804">
      <w:pPr>
        <w:ind w:firstLine="480"/>
        <w:jc w:val="center"/>
      </w:pPr>
      <w:r>
        <w:rPr>
          <w:rFonts w:hint="eastAsia"/>
        </w:rPr>
        <w:t>图4.2中断处理部分代码</w:t>
      </w:r>
    </w:p>
    <w:p w14:paraId="6C50317D">
      <w:pPr>
        <w:widowControl/>
        <w:spacing w:line="240" w:lineRule="auto"/>
        <w:ind w:firstLine="0" w:firstLineChars="0"/>
      </w:pPr>
      <w:r>
        <w:br w:type="page"/>
      </w:r>
    </w:p>
    <w:p w14:paraId="2587E076">
      <w:pPr>
        <w:ind w:firstLine="0" w:firstLineChars="0"/>
        <w:jc w:val="center"/>
      </w:pPr>
      <w:r>
        <w:rPr>
          <w:rFonts w:hint="eastAsia"/>
        </w:rPr>
        <w:t xml:space="preserve">表4.1 </w:t>
      </w:r>
      <w:bookmarkStart w:id="62" w:name="_Hlk197894273"/>
      <w:r>
        <w:rPr>
          <w:rFonts w:hint="eastAsia"/>
        </w:rPr>
        <w:t>中断与轮询对比表</w:t>
      </w:r>
      <w:r>
        <w:rPr>
          <w:rFonts w:hint="eastAsia"/>
        </w:rPr>
        <w:drawing>
          <wp:inline distT="0" distB="0" distL="0" distR="0">
            <wp:extent cx="5274310" cy="3216275"/>
            <wp:effectExtent l="0" t="0" r="2540" b="3175"/>
            <wp:docPr id="26" name="图片 2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20" b="367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2"/>
    <w:p w14:paraId="68BACBC8">
      <w:pPr>
        <w:pStyle w:val="4"/>
      </w:pPr>
      <w:bookmarkStart w:id="63" w:name="_Toc19795"/>
      <w:bookmarkStart w:id="64" w:name="_Toc211542532"/>
      <w:r>
        <w:rPr>
          <w:rFonts w:hint="eastAsia"/>
        </w:rPr>
        <w:t>4.1.2 PCB板设计</w:t>
      </w:r>
      <w:bookmarkEnd w:id="63"/>
      <w:bookmarkEnd w:id="64"/>
    </w:p>
    <w:p w14:paraId="37BF40DE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PCB板设计与制作使用嘉立创EDA（专业版）软件，完成原理图绘制与PCB设计。PCB板打样使用嘉立创下单助手。原理图如图4.3所示。PCB图如图4.4所示。</w:t>
      </w:r>
    </w:p>
    <w:p w14:paraId="0B252E6E">
      <w:pPr>
        <w:ind w:firstLine="0" w:firstLineChars="0"/>
      </w:pPr>
      <w:r>
        <w:drawing>
          <wp:inline distT="0" distB="0" distL="114300" distR="114300">
            <wp:extent cx="5268595" cy="2943860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2" b="53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44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0709">
      <w:pPr>
        <w:ind w:firstLine="3360" w:firstLineChars="1400"/>
      </w:pPr>
      <w:r>
        <w:rPr>
          <w:rFonts w:hint="eastAsia"/>
        </w:rPr>
        <w:t>图4.3 原理图</w:t>
      </w:r>
      <w:r>
        <w:drawing>
          <wp:inline distT="0" distB="0" distL="0" distR="0">
            <wp:extent cx="4975860" cy="3219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A35D">
      <w:pPr>
        <w:tabs>
          <w:tab w:val="left" w:pos="3250"/>
        </w:tabs>
        <w:ind w:firstLine="480"/>
      </w:pPr>
      <w:r>
        <w:rPr>
          <w:rFonts w:hint="eastAsia"/>
        </w:rPr>
        <w:tab/>
      </w:r>
      <w:r>
        <w:rPr>
          <w:rFonts w:hint="eastAsia"/>
        </w:rPr>
        <w:t>图4.4 PCB设计图</w:t>
      </w:r>
    </w:p>
    <w:p w14:paraId="2565D804">
      <w:pPr>
        <w:pStyle w:val="3"/>
      </w:pPr>
      <w:bookmarkStart w:id="65" w:name="_Toc3720"/>
      <w:bookmarkStart w:id="66" w:name="_Toc12775"/>
      <w:bookmarkStart w:id="67" w:name="_Toc211542533"/>
      <w:r>
        <w:rPr>
          <w:rFonts w:hint="eastAsia"/>
        </w:rPr>
        <w:t>4.2显示软件设计</w:t>
      </w:r>
      <w:bookmarkEnd w:id="65"/>
      <w:bookmarkEnd w:id="66"/>
      <w:bookmarkEnd w:id="67"/>
    </w:p>
    <w:p w14:paraId="49F670D3">
      <w:pPr>
        <w:ind w:firstLine="480"/>
        <w:jc w:val="center"/>
      </w:pPr>
      <w:r>
        <w:rPr>
          <w:rFonts w:hint="eastAsia"/>
        </w:rPr>
        <w:t>分别对电源模块、称重模块、视觉识别模块、显示模块、指示模块进行单独调试。检查电源输出电压是否稳定在规定范围；称重模块测量值与标准砝码重量的误差；视觉识别模块能否正确采集图像；显示模块是否正常显示字符和图像；指示模块灯光效果是否符合预期。通过逐步排查和调整电路参数，确保各硬件模块正常工作。显示软件设计如图4.1.4所示</w:t>
      </w:r>
      <w:r>
        <w:drawing>
          <wp:inline distT="0" distB="0" distL="0" distR="0">
            <wp:extent cx="3470910" cy="2813685"/>
            <wp:effectExtent l="0" t="0" r="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34" t="5195" r="6975" b="29773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813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C2DE">
      <w:pPr>
        <w:tabs>
          <w:tab w:val="left" w:pos="2847"/>
        </w:tabs>
        <w:ind w:firstLine="0" w:firstLineChars="0"/>
        <w:jc w:val="center"/>
      </w:pPr>
      <w:r>
        <w:rPr>
          <w:rFonts w:hint="eastAsia"/>
        </w:rPr>
        <w:t>图4.1.4 OLED显示屏</w:t>
      </w:r>
    </w:p>
    <w:p w14:paraId="5D669AE2">
      <w:pPr>
        <w:pStyle w:val="2"/>
      </w:pPr>
      <w:bookmarkStart w:id="68" w:name="_Toc4001"/>
      <w:bookmarkStart w:id="69" w:name="_Toc211542534"/>
      <w:bookmarkStart w:id="70" w:name="_Toc1834"/>
      <w:r>
        <w:rPr>
          <w:rFonts w:hint="eastAsia"/>
        </w:rPr>
        <w:t>5.系统调试与结果</w:t>
      </w:r>
      <w:bookmarkEnd w:id="68"/>
      <w:bookmarkEnd w:id="69"/>
      <w:bookmarkEnd w:id="70"/>
    </w:p>
    <w:p w14:paraId="4450C0F2">
      <w:pPr>
        <w:pStyle w:val="3"/>
      </w:pPr>
      <w:bookmarkStart w:id="71" w:name="_Toc18913"/>
      <w:bookmarkStart w:id="72" w:name="_Toc211542535"/>
      <w:bookmarkStart w:id="73" w:name="_Toc6405"/>
      <w:r>
        <w:rPr>
          <w:rFonts w:hint="eastAsia"/>
        </w:rPr>
        <w:t>5.1系统调试</w:t>
      </w:r>
      <w:bookmarkEnd w:id="71"/>
      <w:bookmarkEnd w:id="72"/>
      <w:bookmarkEnd w:id="73"/>
    </w:p>
    <w:p w14:paraId="6906CC84">
      <w:pPr>
        <w:pStyle w:val="4"/>
      </w:pPr>
      <w:bookmarkStart w:id="74" w:name="_Toc914"/>
      <w:bookmarkStart w:id="75" w:name="_Toc211542536"/>
      <w:r>
        <w:rPr>
          <w:rFonts w:hint="eastAsia"/>
        </w:rPr>
        <w:t>5.1.1硬件调试</w:t>
      </w:r>
      <w:bookmarkEnd w:id="74"/>
      <w:bookmarkEnd w:id="75"/>
    </w:p>
    <w:p w14:paraId="44E0E488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分别对电源模块、称重模块、视觉识别模块、显示模块、指示模块进行单独调试。检查电源输出电压是否稳定在规定范围；称重模块测量值与标准砝码重量的误差；视觉识别模块能否正确采集图像；显示模块是否正常显示字符和图像；指示模块灯光效果是否符合预期。通过逐步排查和调整电路参数，确保各硬件模块正常工作。实物图如图5.1所示。</w:t>
      </w:r>
    </w:p>
    <w:p w14:paraId="02AC038F">
      <w:pPr>
        <w:ind w:firstLine="0" w:firstLineChars="0"/>
      </w:pPr>
      <w:r>
        <w:drawing>
          <wp:inline distT="0" distB="0" distL="0" distR="0">
            <wp:extent cx="3573145" cy="4945380"/>
            <wp:effectExtent l="0" t="317" r="7937" b="7938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" r="18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73491" cy="494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49BC">
      <w:pPr>
        <w:tabs>
          <w:tab w:val="left" w:pos="3127"/>
        </w:tabs>
        <w:ind w:firstLine="480"/>
        <w:jc w:val="center"/>
      </w:pPr>
      <w:r>
        <w:rPr>
          <w:rFonts w:hint="eastAsia"/>
        </w:rPr>
        <w:t>图5.1 系统硬件实物图</w:t>
      </w:r>
    </w:p>
    <w:p w14:paraId="5E468165">
      <w:pPr>
        <w:pStyle w:val="4"/>
        <w:spacing w:before="156" w:after="156"/>
      </w:pPr>
      <w:bookmarkStart w:id="76" w:name="_Toc31217"/>
      <w:bookmarkStart w:id="77" w:name="_Toc211542537"/>
      <w:r>
        <w:rPr>
          <w:rFonts w:hint="eastAsia"/>
        </w:rPr>
        <w:t>5.1.2软件调试</w:t>
      </w:r>
      <w:bookmarkEnd w:id="76"/>
      <w:bookmarkEnd w:id="77"/>
    </w:p>
    <w:p w14:paraId="51DEF734">
      <w:pPr>
        <w:ind w:firstLine="480"/>
        <w:rPr>
          <w:rFonts w:hint="eastAsia" w:ascii="宋体" w:hAnsi="宋体"/>
        </w:rPr>
      </w:pPr>
      <w:r>
        <w:rPr>
          <w:rFonts w:ascii="宋体" w:hAnsi="宋体"/>
        </w:rPr>
        <w:t>软件调试的过程中，主要通过单步调试的方法进行。经过反复的查找并修改 BUG，再观察</w:t>
      </w:r>
      <w:r>
        <w:rPr>
          <w:rFonts w:hint="eastAsia" w:ascii="宋体" w:hAnsi="宋体"/>
        </w:rPr>
        <w:t>测试</w:t>
      </w:r>
      <w:r>
        <w:rPr>
          <w:rFonts w:ascii="宋体" w:hAnsi="宋体"/>
        </w:rPr>
        <w:t>的结果，从而逐步现实各个功能。在Keil uVision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开发环境下程序调试的过程中，第一步:先选择程序;第二步:</w:t>
      </w:r>
      <w:r>
        <w:rPr>
          <w:rFonts w:hint="eastAsia" w:ascii="宋体" w:hAnsi="宋体"/>
        </w:rPr>
        <w:t>对程序进行编译</w:t>
      </w:r>
      <w:r>
        <w:rPr>
          <w:rFonts w:ascii="宋体" w:hAnsi="宋体"/>
        </w:rPr>
        <w:t>;第三步:将程序下载为hex文件并下载到硬件上;第四步:点击运行观察硬件实现功能。Keil uVision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软件调试界面如图5.</w:t>
      </w:r>
      <w:r>
        <w:rPr>
          <w:rFonts w:hint="eastAsia" w:ascii="宋体" w:hAnsi="宋体"/>
        </w:rPr>
        <w:t>2</w:t>
      </w:r>
      <w:r>
        <w:rPr>
          <w:rFonts w:ascii="宋体" w:hAnsi="宋体"/>
        </w:rPr>
        <w:t>所示。</w:t>
      </w:r>
    </w:p>
    <w:p w14:paraId="71BE54DD">
      <w:pPr>
        <w:ind w:firstLine="480"/>
        <w:rPr>
          <w:rFonts w:hint="eastAsia" w:ascii="宋体" w:hAnsi="宋体"/>
        </w:rPr>
      </w:pPr>
    </w:p>
    <w:p w14:paraId="7AD69BD9">
      <w:pPr>
        <w:ind w:firstLine="480"/>
      </w:pPr>
      <w:r>
        <w:drawing>
          <wp:inline distT="0" distB="0" distL="0" distR="0">
            <wp:extent cx="4546600" cy="3261995"/>
            <wp:effectExtent l="0" t="0" r="635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129" cy="32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29B6">
      <w:pPr>
        <w:ind w:firstLine="480"/>
      </w:pPr>
      <w:bookmarkStart w:id="78" w:name="_Toc198065462"/>
      <w:bookmarkStart w:id="79" w:name="_Toc416"/>
      <w:bookmarkStart w:id="80" w:name="_Toc7122"/>
      <w:bookmarkStart w:id="81" w:name="_Toc29109"/>
      <w:r>
        <w:drawing>
          <wp:inline distT="0" distB="0" distL="0" distR="0">
            <wp:extent cx="5274310" cy="4535170"/>
            <wp:effectExtent l="0" t="0" r="2540" b="0"/>
            <wp:docPr id="18444428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2816" name="图片 3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  <w:bookmarkEnd w:id="79"/>
    </w:p>
    <w:p w14:paraId="5BDA0D92">
      <w:pPr>
        <w:tabs>
          <w:tab w:val="left" w:pos="3481"/>
        </w:tabs>
        <w:ind w:firstLine="3360" w:firstLineChars="1400"/>
      </w:pPr>
      <w:r>
        <w:rPr>
          <w:rFonts w:hint="eastAsia"/>
        </w:rPr>
        <w:t>图5.2 软件调试界面</w:t>
      </w:r>
    </w:p>
    <w:p w14:paraId="57478DCD">
      <w:pPr>
        <w:pStyle w:val="3"/>
      </w:pPr>
      <w:bookmarkStart w:id="82" w:name="_Toc211542538"/>
      <w:r>
        <w:rPr>
          <w:rFonts w:hint="eastAsia"/>
        </w:rPr>
        <w:t>5.2测试结果</w:t>
      </w:r>
      <w:bookmarkEnd w:id="80"/>
      <w:bookmarkEnd w:id="81"/>
      <w:bookmarkEnd w:id="82"/>
    </w:p>
    <w:p w14:paraId="1B4F65F0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在不同光照条件、水果摆放角度和背景环境下对系统进行测试。记录系统对不同种类水果的识别准确率、识别时间以及重量测量误差。经过测试和优化，系统在正常光照条件下，对常见水果种类的识别准确率达到[X]%以上，识别时间控制在[X]秒以内，重量测量误差在[X]克以内，满足设计预期测试结果如图5.3所示。</w:t>
      </w:r>
    </w:p>
    <w:p w14:paraId="1FDECDE5">
      <w:pPr>
        <w:ind w:firstLine="480"/>
        <w:jc w:val="center"/>
      </w:pPr>
      <w:r>
        <w:rPr>
          <w:rFonts w:ascii="宋体" w:hAnsi="宋体"/>
        </w:rPr>
        <w:drawing>
          <wp:inline distT="0" distB="0" distL="0" distR="0">
            <wp:extent cx="2132330" cy="2498725"/>
            <wp:effectExtent l="7302" t="0" r="8573" b="8572"/>
            <wp:docPr id="41" name="图片 41" descr="日历, 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日历, QR 代码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53" t="36534" r="30458" b="3653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32235" cy="24990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9A37">
      <w:pPr>
        <w:tabs>
          <w:tab w:val="left" w:pos="2602"/>
        </w:tabs>
        <w:ind w:firstLine="0" w:firstLineChars="0"/>
        <w:jc w:val="center"/>
      </w:pPr>
      <w:r>
        <w:rPr>
          <w:rFonts w:hint="eastAsia"/>
        </w:rPr>
        <w:t>图5.3测试结果</w:t>
      </w:r>
    </w:p>
    <w:p w14:paraId="70620984">
      <w:pPr>
        <w:pStyle w:val="2"/>
      </w:pPr>
      <w:bookmarkStart w:id="83" w:name="_Toc211542539"/>
      <w:bookmarkStart w:id="84" w:name="_Toc27189"/>
      <w:bookmarkStart w:id="85" w:name="_Toc25198"/>
      <w:r>
        <w:rPr>
          <w:rFonts w:hint="eastAsia"/>
        </w:rPr>
        <w:t>6.总结</w:t>
      </w:r>
      <w:bookmarkEnd w:id="83"/>
      <w:bookmarkEnd w:id="84"/>
      <w:bookmarkEnd w:id="85"/>
    </w:p>
    <w:p w14:paraId="7C140F7A">
      <w:pPr>
        <w:ind w:firstLine="480"/>
      </w:pPr>
      <w:r>
        <w:rPr>
          <w:rFonts w:hint="eastAsia"/>
        </w:rPr>
        <w:t>本项目通过光电设计竞赛完成了水果识别系统的设计与实现。硬件上合理选型并搭建了稳定的系统架构，软件上实现了高效的算法和流程控制。经调试测试，系统在水果识别和重量测量方面达到了一定性能指标。但在复杂环境适应性、模型泛化能力等方面仍有提升空间。未来可进一步优化识别算法，增加对水果品质（如糖度、新鲜度等）的检测功能，拓展系统在水果产业链中的应用场景，推动光电技术在农业智能化领域的深入发展。</w:t>
      </w:r>
    </w:p>
    <w:p w14:paraId="28A2A558">
      <w:pPr>
        <w:ind w:firstLine="480"/>
        <w:rPr>
          <w:rFonts w:hint="eastAsia" w:ascii="宋体" w:hAnsi="宋体"/>
        </w:rPr>
      </w:pPr>
    </w:p>
    <w:sectPr>
      <w:foot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C0F17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B6F00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88AC9">
    <w:pPr>
      <w:pStyle w:val="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79195">
    <w:pPr>
      <w:pStyle w:val="8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7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35CD7A">
                          <w:pPr>
                            <w:pStyle w:val="8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JqthBk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35CD7A">
                    <w:pPr>
                      <w:pStyle w:val="8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D3E76">
    <w:pPr>
      <w:pStyle w:val="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5C729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A8533">
    <w:pPr>
      <w:pStyle w:val="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E91E83"/>
    <w:rsid w:val="00057CC7"/>
    <w:rsid w:val="000711EA"/>
    <w:rsid w:val="00071C7E"/>
    <w:rsid w:val="00093763"/>
    <w:rsid w:val="000A0FF9"/>
    <w:rsid w:val="000F546E"/>
    <w:rsid w:val="000F7932"/>
    <w:rsid w:val="00107A8D"/>
    <w:rsid w:val="00113F31"/>
    <w:rsid w:val="00145A9C"/>
    <w:rsid w:val="001F0227"/>
    <w:rsid w:val="00202F25"/>
    <w:rsid w:val="002158DB"/>
    <w:rsid w:val="00217998"/>
    <w:rsid w:val="00242439"/>
    <w:rsid w:val="0028155F"/>
    <w:rsid w:val="002C5DE6"/>
    <w:rsid w:val="002F077A"/>
    <w:rsid w:val="00376D2F"/>
    <w:rsid w:val="003A0F28"/>
    <w:rsid w:val="003B1295"/>
    <w:rsid w:val="003C3D69"/>
    <w:rsid w:val="003E4116"/>
    <w:rsid w:val="003E5CA9"/>
    <w:rsid w:val="00422655"/>
    <w:rsid w:val="00431EB7"/>
    <w:rsid w:val="00451BFA"/>
    <w:rsid w:val="004738B3"/>
    <w:rsid w:val="0053224E"/>
    <w:rsid w:val="00551E31"/>
    <w:rsid w:val="005832D4"/>
    <w:rsid w:val="005F5971"/>
    <w:rsid w:val="00605C83"/>
    <w:rsid w:val="00630D71"/>
    <w:rsid w:val="006541FB"/>
    <w:rsid w:val="006E5342"/>
    <w:rsid w:val="00714601"/>
    <w:rsid w:val="00773FA3"/>
    <w:rsid w:val="007A1B95"/>
    <w:rsid w:val="007F3740"/>
    <w:rsid w:val="00827EE7"/>
    <w:rsid w:val="008328F3"/>
    <w:rsid w:val="00861C5B"/>
    <w:rsid w:val="008A0121"/>
    <w:rsid w:val="008A6BC2"/>
    <w:rsid w:val="00924AC7"/>
    <w:rsid w:val="00956B2A"/>
    <w:rsid w:val="009625D1"/>
    <w:rsid w:val="00970FC3"/>
    <w:rsid w:val="009B6AF3"/>
    <w:rsid w:val="009D449E"/>
    <w:rsid w:val="009F5D5A"/>
    <w:rsid w:val="00A51095"/>
    <w:rsid w:val="00A70536"/>
    <w:rsid w:val="00A8006D"/>
    <w:rsid w:val="00AA6B97"/>
    <w:rsid w:val="00AB4176"/>
    <w:rsid w:val="00AC0699"/>
    <w:rsid w:val="00AE375A"/>
    <w:rsid w:val="00AF1017"/>
    <w:rsid w:val="00B07B5D"/>
    <w:rsid w:val="00B71808"/>
    <w:rsid w:val="00B80402"/>
    <w:rsid w:val="00B83576"/>
    <w:rsid w:val="00BA36BB"/>
    <w:rsid w:val="00BC6D8B"/>
    <w:rsid w:val="00C10D1A"/>
    <w:rsid w:val="00C46B75"/>
    <w:rsid w:val="00CA41CC"/>
    <w:rsid w:val="00CD1E88"/>
    <w:rsid w:val="00CE6AB7"/>
    <w:rsid w:val="00D5272C"/>
    <w:rsid w:val="00D64A1D"/>
    <w:rsid w:val="00DA1480"/>
    <w:rsid w:val="00E24573"/>
    <w:rsid w:val="00E609DB"/>
    <w:rsid w:val="00E75348"/>
    <w:rsid w:val="00E77F63"/>
    <w:rsid w:val="00EE4609"/>
    <w:rsid w:val="00F36352"/>
    <w:rsid w:val="00F84B54"/>
    <w:rsid w:val="00F904A5"/>
    <w:rsid w:val="01001F64"/>
    <w:rsid w:val="020D03FA"/>
    <w:rsid w:val="09AC79A9"/>
    <w:rsid w:val="0C006045"/>
    <w:rsid w:val="100A76D7"/>
    <w:rsid w:val="115479FC"/>
    <w:rsid w:val="1752433D"/>
    <w:rsid w:val="1DB4735C"/>
    <w:rsid w:val="1E89614A"/>
    <w:rsid w:val="264B093E"/>
    <w:rsid w:val="2A072D6E"/>
    <w:rsid w:val="2CB124FD"/>
    <w:rsid w:val="34E91E83"/>
    <w:rsid w:val="428565FA"/>
    <w:rsid w:val="46704EB4"/>
    <w:rsid w:val="50794F35"/>
    <w:rsid w:val="63B80E05"/>
    <w:rsid w:val="67700C54"/>
    <w:rsid w:val="681E62E6"/>
    <w:rsid w:val="6A8F1445"/>
    <w:rsid w:val="6ABB163D"/>
    <w:rsid w:val="6B622956"/>
    <w:rsid w:val="7375168E"/>
    <w:rsid w:val="73A016D5"/>
    <w:rsid w:val="75CB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ind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ind w:firstLine="0" w:firstLineChars="0"/>
      <w:outlineLvl w:val="1"/>
    </w:pPr>
    <w:rPr>
      <w:rFonts w:ascii="Arial" w:hAnsi="Arial"/>
      <w:b/>
      <w:sz w:val="30"/>
    </w:rPr>
  </w:style>
  <w:style w:type="paragraph" w:styleId="4">
    <w:name w:val="heading 3"/>
    <w:basedOn w:val="1"/>
    <w:next w:val="1"/>
    <w:link w:val="18"/>
    <w:unhideWhenUsed/>
    <w:qFormat/>
    <w:uiPriority w:val="0"/>
    <w:pPr>
      <w:keepNext/>
      <w:keepLines/>
      <w:ind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link w:val="22"/>
    <w:unhideWhenUsed/>
    <w:qFormat/>
    <w:uiPriority w:val="0"/>
    <w:pPr>
      <w:keepNext/>
      <w:keepLines/>
      <w:spacing w:line="377" w:lineRule="auto"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cs="宋体"/>
      <w:lang w:eastAsia="en-US"/>
    </w:r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autoRedefine/>
    <w:qFormat/>
    <w:uiPriority w:val="39"/>
  </w:style>
  <w:style w:type="paragraph" w:styleId="11">
    <w:name w:val="toc 2"/>
    <w:basedOn w:val="1"/>
    <w:next w:val="1"/>
    <w:autoRedefine/>
    <w:qFormat/>
    <w:uiPriority w:val="39"/>
    <w:pPr>
      <w:ind w:left="420" w:leftChars="200"/>
    </w:pPr>
  </w:style>
  <w:style w:type="paragraph" w:styleId="12">
    <w:name w:val="Normal (Web)"/>
    <w:basedOn w:val="1"/>
    <w:qFormat/>
    <w:uiPriority w:val="0"/>
  </w:style>
  <w:style w:type="paragraph" w:styleId="13">
    <w:name w:val="Title"/>
    <w:basedOn w:val="1"/>
    <w:next w:val="1"/>
    <w:link w:val="23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3 字符"/>
    <w:link w:val="4"/>
    <w:qFormat/>
    <w:uiPriority w:val="0"/>
    <w:rPr>
      <w:rFonts w:asciiTheme="minorHAnsi" w:hAnsiTheme="minorHAnsi" w:cstheme="minorBidi"/>
      <w:b/>
      <w:kern w:val="2"/>
      <w:sz w:val="28"/>
      <w:szCs w:val="24"/>
    </w:rPr>
  </w:style>
  <w:style w:type="paragraph" w:customStyle="1" w:styleId="19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0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1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22">
    <w:name w:val="标题 4 字符"/>
    <w:basedOn w:val="15"/>
    <w:link w:val="5"/>
    <w:qFormat/>
    <w:uiPriority w:val="0"/>
    <w:rPr>
      <w:rFonts w:eastAsia="宋体" w:asciiTheme="majorHAnsi" w:hAnsiTheme="majorHAnsi" w:cstheme="majorBidi"/>
      <w:b/>
      <w:bCs/>
      <w:kern w:val="2"/>
      <w:sz w:val="24"/>
      <w:szCs w:val="28"/>
    </w:rPr>
  </w:style>
  <w:style w:type="character" w:customStyle="1" w:styleId="23">
    <w:name w:val="标题 字符"/>
    <w:basedOn w:val="15"/>
    <w:link w:val="1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4">
    <w:name w:val="566ba9ff-a5b0-4b6f-bbdf-c3ab41993fc2"/>
    <w:basedOn w:val="5"/>
    <w:next w:val="25"/>
    <w:link w:val="26"/>
    <w:qFormat/>
    <w:uiPriority w:val="0"/>
    <w:pPr>
      <w:adjustRightInd w:val="0"/>
      <w:spacing w:line="288" w:lineRule="auto"/>
      <w:ind w:firstLine="0"/>
    </w:pPr>
    <w:rPr>
      <w:rFonts w:ascii="微软雅黑" w:hAnsi="微软雅黑" w:eastAsia="微软雅黑"/>
      <w:color w:val="000000"/>
    </w:rPr>
  </w:style>
  <w:style w:type="paragraph" w:customStyle="1" w:styleId="25">
    <w:name w:val="acbfdd8b-e11b-4d36-88ff-6049b138f862"/>
    <w:basedOn w:val="1"/>
    <w:link w:val="27"/>
    <w:qFormat/>
    <w:uiPriority w:val="0"/>
    <w:pPr>
      <w:adjustRightInd w:val="0"/>
      <w:spacing w:line="288" w:lineRule="auto"/>
      <w:ind w:firstLine="0"/>
    </w:pPr>
    <w:rPr>
      <w:rFonts w:ascii="微软雅黑" w:hAnsi="微软雅黑" w:eastAsia="微软雅黑"/>
      <w:color w:val="000000"/>
      <w:sz w:val="22"/>
    </w:rPr>
  </w:style>
  <w:style w:type="character" w:customStyle="1" w:styleId="26">
    <w:name w:val="566ba9ff-a5b0-4b6f-bbdf-c3ab41993fc2 字符"/>
    <w:basedOn w:val="15"/>
    <w:link w:val="24"/>
    <w:qFormat/>
    <w:uiPriority w:val="0"/>
    <w:rPr>
      <w:rFonts w:ascii="微软雅黑" w:hAnsi="微软雅黑" w:eastAsia="微软雅黑" w:cstheme="majorBidi"/>
      <w:b/>
      <w:bCs/>
      <w:color w:val="000000"/>
      <w:kern w:val="2"/>
      <w:sz w:val="24"/>
      <w:szCs w:val="28"/>
    </w:rPr>
  </w:style>
  <w:style w:type="character" w:customStyle="1" w:styleId="27">
    <w:name w:val="acbfdd8b-e11b-4d36-88ff-6049b138f862 字符"/>
    <w:basedOn w:val="15"/>
    <w:link w:val="25"/>
    <w:qFormat/>
    <w:uiPriority w:val="0"/>
    <w:rPr>
      <w:rFonts w:ascii="微软雅黑" w:hAnsi="微软雅黑" w:eastAsia="微软雅黑"/>
      <w:color w:val="000000"/>
      <w:kern w:val="2"/>
      <w:sz w:val="22"/>
      <w:szCs w:val="24"/>
    </w:rPr>
  </w:style>
  <w:style w:type="paragraph" w:styleId="28">
    <w:name w:val="List Paragraph"/>
    <w:basedOn w:val="1"/>
    <w:unhideWhenUsed/>
    <w:qFormat/>
    <w:uiPriority w:val="99"/>
    <w:pPr>
      <w:ind w:firstLine="420"/>
    </w:pPr>
  </w:style>
  <w:style w:type="paragraph" w:customStyle="1" w:styleId="29">
    <w:name w:val="样式1"/>
    <w:basedOn w:val="3"/>
    <w:qFormat/>
    <w:uiPriority w:val="0"/>
  </w:style>
  <w:style w:type="table" w:customStyle="1" w:styleId="3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3"/>
      <w:szCs w:val="23"/>
      <w:lang w:eastAsia="en-US"/>
    </w:rPr>
  </w:style>
  <w:style w:type="character" w:customStyle="1" w:styleId="32">
    <w:name w:val="font11"/>
    <w:basedOn w:val="15"/>
    <w:qFormat/>
    <w:uiPriority w:val="0"/>
    <w:rPr>
      <w:rFonts w:hint="default" w:ascii="Segoe UI" w:hAnsi="Segoe UI" w:eastAsia="Segoe UI" w:cs="Segoe UI"/>
      <w:color w:val="0F1115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customXml" Target="../customXml/item1.xml"/><Relationship Id="rId35" Type="http://schemas.openxmlformats.org/officeDocument/2006/relationships/image" Target="media/image23.jpeg"/><Relationship Id="rId34" Type="http://schemas.openxmlformats.org/officeDocument/2006/relationships/image" Target="media/image22.jpeg"/><Relationship Id="rId33" Type="http://schemas.openxmlformats.org/officeDocument/2006/relationships/image" Target="media/image21.jpeg"/><Relationship Id="rId32" Type="http://schemas.openxmlformats.org/officeDocument/2006/relationships/image" Target="media/image20.png"/><Relationship Id="rId31" Type="http://schemas.openxmlformats.org/officeDocument/2006/relationships/image" Target="media/image19.jpeg"/><Relationship Id="rId30" Type="http://schemas.openxmlformats.org/officeDocument/2006/relationships/image" Target="media/image18.jpe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jpe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jpeg"/><Relationship Id="rId23" Type="http://schemas.openxmlformats.org/officeDocument/2006/relationships/image" Target="media/image11.jpe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jpeg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image" Target="media/image6.jpeg"/><Relationship Id="rId17" Type="http://schemas.openxmlformats.org/officeDocument/2006/relationships/image" Target="media/image5.png"/><Relationship Id="rId16" Type="http://schemas.openxmlformats.org/officeDocument/2006/relationships/image" Target="media/image4.jpeg"/><Relationship Id="rId15" Type="http://schemas.openxmlformats.org/officeDocument/2006/relationships/image" Target="media/image3.jpeg"/><Relationship Id="rId14" Type="http://schemas.openxmlformats.org/officeDocument/2006/relationships/image" Target="media/image2.jpe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A86D6C-D0E9-45E7-A10A-C8E5851831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7650</Words>
  <Characters>9131</Characters>
  <Lines>339</Lines>
  <Paragraphs>304</Paragraphs>
  <TotalTime>84</TotalTime>
  <ScaleCrop>false</ScaleCrop>
  <LinksUpToDate>false</LinksUpToDate>
  <CharactersWithSpaces>9366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2025-05-13T13:29:00Z</dcterms:created>
  <dc:creator>WPS_1648991700</dc:creator>
  <cp:lastModifiedBy>WPS_1648991700</cp:lastModifiedBy>
  <cp:lastPrinted>2026-03-24T09:21:58Z</cp:lastPrinted>
  <dcterms:modified xsi:type="dcterms:W3CDTF">2026-03-24T10:09:20Z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96C57F230B684B41875FE1C5F8542D04_13</vt:lpwstr>
  </property>
  <property fmtid="{D5CDD505-2E9C-101B-9397-08002B2CF9AE}" pid="4" name="KSOTemplateDocerSaveRecord">
    <vt:lpwstr>eyJoZGlkIjoiMzE5ZDQ1YWE5ZjFhYmUyZTI4ZjIxMDA5NzA2NmFjZmMiLCJ1c2VySWQiOiIxMzU3Mjk2NjA0In0=</vt:lpwstr>
  </property>
</Properties>
</file>