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C780AA">
      <w:pPr>
        <w:ind w:left="0" w:leftChars="0" w:firstLine="0" w:firstLineChars="0"/>
        <w:jc w:val="center"/>
        <w:rPr>
          <w:rFonts w:hint="default" w:eastAsia="黑体" w:asciiTheme="minorAscii" w:hAnsiTheme="minorAscii"/>
          <w:b/>
          <w:bCs/>
          <w:sz w:val="72"/>
          <w:szCs w:val="96"/>
          <w:lang w:val="en-US" w:eastAsia="zh-CN"/>
        </w:rPr>
      </w:pPr>
      <w:r>
        <w:rPr>
          <w:rFonts w:hint="default" w:eastAsia="黑体" w:asciiTheme="minorAscii" w:hAnsiTheme="minorAscii"/>
          <w:b/>
          <w:bCs/>
          <w:sz w:val="72"/>
          <w:szCs w:val="96"/>
          <w:lang w:val="en-US" w:eastAsia="zh-CN"/>
        </w:rPr>
        <w:t>基于PLC的N95口罩全自动高速智造系</w:t>
      </w:r>
      <w:r>
        <w:rPr>
          <w:rFonts w:hint="eastAsia" w:eastAsia="黑体"/>
          <w:b/>
          <w:bCs/>
          <w:sz w:val="72"/>
          <w:szCs w:val="96"/>
          <w:lang w:val="en-US" w:eastAsia="zh-CN"/>
        </w:rPr>
        <w:t>统</w:t>
      </w:r>
      <w:bookmarkStart w:id="77" w:name="_GoBack"/>
      <w:bookmarkEnd w:id="77"/>
    </w:p>
    <w:p w14:paraId="68EAC29D">
      <w:pPr>
        <w:jc w:val="center"/>
        <w:rPr>
          <w:rFonts w:hint="eastAsia" w:eastAsia="黑体" w:asciiTheme="minorAscii" w:hAnsiTheme="minorAscii"/>
          <w:sz w:val="72"/>
          <w:szCs w:val="96"/>
          <w:lang w:val="en-US" w:eastAsia="zh-CN"/>
        </w:rPr>
      </w:pPr>
      <w:r>
        <w:rPr>
          <w:rFonts w:hint="eastAsia" w:eastAsia="黑体" w:asciiTheme="minorAscii" w:hAnsiTheme="minorAscii"/>
          <w:sz w:val="72"/>
          <w:szCs w:val="96"/>
          <w:lang w:val="en-US" w:eastAsia="zh-CN"/>
        </w:rPr>
        <w:t xml:space="preserve"> </w:t>
      </w:r>
    </w:p>
    <w:p w14:paraId="58B2DA1E">
      <w:pPr>
        <w:jc w:val="center"/>
        <w:rPr>
          <w:rFonts w:hint="default" w:eastAsia="黑体" w:asciiTheme="minorAscii" w:hAnsiTheme="minorAscii"/>
          <w:sz w:val="72"/>
          <w:szCs w:val="96"/>
          <w:lang w:val="en-US" w:eastAsia="zh-CN"/>
        </w:rPr>
      </w:pPr>
    </w:p>
    <w:p w14:paraId="62AF6F73">
      <w:pPr>
        <w:jc w:val="center"/>
        <w:rPr>
          <w:rFonts w:hint="eastAsia" w:eastAsia="黑体" w:asciiTheme="minorAscii" w:hAnsiTheme="minorAscii"/>
          <w:sz w:val="72"/>
          <w:szCs w:val="96"/>
          <w:lang w:val="en-US" w:eastAsia="zh-CN"/>
        </w:rPr>
      </w:pPr>
    </w:p>
    <w:p w14:paraId="6E6761C7">
      <w:pPr>
        <w:bidi w:val="0"/>
        <w:ind w:left="0" w:leftChars="0" w:firstLine="0" w:firstLineChars="0"/>
        <w:jc w:val="center"/>
        <w:rPr>
          <w:rFonts w:hint="eastAsia" w:ascii="黑体" w:hAnsi="黑体" w:eastAsia="黑体" w:cs="黑体"/>
          <w:b/>
          <w:bCs/>
          <w:sz w:val="96"/>
          <w:szCs w:val="96"/>
          <w:lang w:val="en-US" w:eastAsia="zh-CN"/>
        </w:rPr>
      </w:pPr>
      <w:r>
        <w:rPr>
          <w:rFonts w:hint="eastAsia" w:ascii="黑体" w:hAnsi="黑体" w:eastAsia="黑体" w:cs="黑体"/>
          <w:b/>
          <w:bCs/>
          <w:sz w:val="96"/>
          <w:szCs w:val="96"/>
          <w:lang w:val="en-US" w:eastAsia="zh-CN"/>
        </w:rPr>
        <w:t>商</w:t>
      </w:r>
    </w:p>
    <w:p w14:paraId="6D5EDC57">
      <w:pPr>
        <w:bidi w:val="0"/>
        <w:ind w:left="0" w:leftChars="0" w:firstLine="0" w:firstLineChars="0"/>
        <w:jc w:val="center"/>
        <w:rPr>
          <w:rFonts w:hint="eastAsia" w:ascii="黑体" w:hAnsi="黑体" w:eastAsia="黑体" w:cs="黑体"/>
          <w:b/>
          <w:bCs/>
          <w:sz w:val="96"/>
          <w:szCs w:val="96"/>
          <w:lang w:val="en-US" w:eastAsia="zh-CN"/>
        </w:rPr>
      </w:pPr>
      <w:r>
        <w:rPr>
          <w:rFonts w:hint="eastAsia" w:ascii="黑体" w:hAnsi="黑体" w:eastAsia="黑体" w:cs="黑体"/>
          <w:b/>
          <w:bCs/>
          <w:sz w:val="96"/>
          <w:szCs w:val="96"/>
          <w:lang w:val="en-US" w:eastAsia="zh-CN"/>
        </w:rPr>
        <w:t>业</w:t>
      </w:r>
    </w:p>
    <w:p w14:paraId="45FE6AEF">
      <w:pPr>
        <w:bidi w:val="0"/>
        <w:ind w:left="0" w:leftChars="0" w:firstLine="0" w:firstLineChars="0"/>
        <w:jc w:val="center"/>
        <w:rPr>
          <w:rFonts w:hint="eastAsia" w:ascii="黑体" w:hAnsi="黑体" w:eastAsia="黑体" w:cs="黑体"/>
          <w:b/>
          <w:bCs/>
          <w:sz w:val="96"/>
          <w:szCs w:val="96"/>
          <w:lang w:val="en-US" w:eastAsia="zh-CN"/>
        </w:rPr>
      </w:pPr>
      <w:r>
        <w:rPr>
          <w:rFonts w:hint="eastAsia" w:ascii="黑体" w:hAnsi="黑体" w:eastAsia="黑体" w:cs="黑体"/>
          <w:b/>
          <w:bCs/>
          <w:sz w:val="96"/>
          <w:szCs w:val="96"/>
          <w:lang w:val="en-US" w:eastAsia="zh-CN"/>
        </w:rPr>
        <w:t>策</w:t>
      </w:r>
    </w:p>
    <w:p w14:paraId="3E47F05B">
      <w:pPr>
        <w:bidi w:val="0"/>
        <w:ind w:left="0" w:leftChars="0" w:firstLine="0" w:firstLineChars="0"/>
        <w:jc w:val="center"/>
        <w:rPr>
          <w:rFonts w:hint="eastAsia" w:ascii="黑体" w:hAnsi="黑体" w:eastAsia="黑体" w:cs="黑体"/>
          <w:b/>
          <w:bCs/>
          <w:sz w:val="96"/>
          <w:szCs w:val="96"/>
          <w:lang w:val="en-US" w:eastAsia="zh-CN"/>
        </w:rPr>
      </w:pPr>
      <w:r>
        <w:rPr>
          <w:rFonts w:hint="eastAsia" w:ascii="黑体" w:hAnsi="黑体" w:eastAsia="黑体" w:cs="黑体"/>
          <w:b/>
          <w:bCs/>
          <w:sz w:val="96"/>
          <w:szCs w:val="96"/>
          <w:lang w:val="en-US" w:eastAsia="zh-CN"/>
        </w:rPr>
        <w:t>划</w:t>
      </w:r>
    </w:p>
    <w:p w14:paraId="7132E456">
      <w:pPr>
        <w:bidi w:val="0"/>
        <w:ind w:left="0" w:leftChars="0" w:firstLine="0" w:firstLineChars="0"/>
        <w:jc w:val="center"/>
        <w:rPr>
          <w:rFonts w:hint="eastAsia" w:ascii="黑体" w:hAnsi="黑体" w:eastAsia="黑体" w:cs="黑体"/>
          <w:b/>
          <w:bCs/>
          <w:sz w:val="96"/>
          <w:szCs w:val="96"/>
          <w:lang w:val="en-US" w:eastAsia="zh-CN"/>
        </w:rPr>
      </w:pPr>
      <w:r>
        <w:rPr>
          <w:rFonts w:hint="eastAsia" w:ascii="黑体" w:hAnsi="黑体" w:eastAsia="黑体" w:cs="黑体"/>
          <w:b/>
          <w:bCs/>
          <w:sz w:val="96"/>
          <w:szCs w:val="96"/>
          <w:lang w:val="en-US" w:eastAsia="zh-CN"/>
        </w:rPr>
        <w:t>书</w:t>
      </w:r>
    </w:p>
    <w:p w14:paraId="69BE3B15">
      <w:pPr>
        <w:bidi w:val="0"/>
        <w:ind w:left="0" w:leftChars="0" w:firstLine="0" w:firstLineChars="0"/>
        <w:rPr>
          <w:lang w:val="en-US" w:eastAsia="zh-CN"/>
        </w:rPr>
      </w:pPr>
    </w:p>
    <w:p w14:paraId="0DD3B2D7">
      <w:pPr>
        <w:ind w:firstLine="420" w:firstLineChars="0"/>
        <w:jc w:val="center"/>
        <w:rPr>
          <w:rFonts w:hint="default" w:eastAsia="黑体" w:asciiTheme="minorAscii" w:hAnsiTheme="minorAscii"/>
          <w:sz w:val="72"/>
          <w:szCs w:val="96"/>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6191E7E4">
      <w:pPr>
        <w:keepNext w:val="0"/>
        <w:keepLines w:val="0"/>
        <w:pageBreakBefore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default" w:ascii="Segoe UI" w:hAnsi="Segoe UI" w:eastAsia="黑体" w:cs="Segoe UI"/>
          <w:b/>
          <w:bCs/>
          <w:i w:val="0"/>
          <w:iCs w:val="0"/>
          <w:caps w:val="0"/>
          <w:color w:val="000000"/>
          <w:spacing w:val="0"/>
          <w:sz w:val="32"/>
          <w:szCs w:val="18"/>
          <w:lang w:val="en-US" w:eastAsia="zh-CN"/>
        </w:rPr>
      </w:pPr>
      <w:bookmarkStart w:id="0" w:name="_Toc31413"/>
      <w:r>
        <w:rPr>
          <w:rFonts w:hint="eastAsia" w:ascii="Segoe UI" w:hAnsi="Segoe UI" w:eastAsia="黑体" w:cs="Segoe UI"/>
          <w:b/>
          <w:bCs/>
          <w:i w:val="0"/>
          <w:iCs w:val="0"/>
          <w:caps w:val="0"/>
          <w:color w:val="000000"/>
          <w:spacing w:val="0"/>
          <w:sz w:val="32"/>
          <w:szCs w:val="18"/>
          <w:lang w:val="en-US" w:eastAsia="zh-CN"/>
        </w:rPr>
        <w:t>摘要</w:t>
      </w:r>
      <w:bookmarkEnd w:id="0"/>
    </w:p>
    <w:p w14:paraId="665EF7AB">
      <w:pPr>
        <w:keepNext w:val="0"/>
        <w:keepLines w:val="0"/>
        <w:widowControl/>
        <w:suppressLineNumbers w:val="0"/>
        <w:jc w:val="left"/>
      </w:pPr>
      <w:r>
        <w:rPr>
          <w:rFonts w:ascii="宋体" w:hAnsi="宋体" w:eastAsia="宋体" w:cs="宋体"/>
          <w:kern w:val="0"/>
          <w:sz w:val="24"/>
          <w:szCs w:val="24"/>
          <w:lang w:val="en-US" w:eastAsia="zh-CN" w:bidi="ar"/>
        </w:rPr>
        <w:t>行业痛点突出，效率精度双低。传统N95口罩生产长期受困于效率低下、精度不足，难以适配规模化医疗防护需求，本研究针对性推出“基于PLC的N95口罩全自动高速智造系统”。系统以多品牌PLC为核心，选用信捷XDH-60T4-E、西门子SMART200及1200系列控制器，深度融合EtherCAT总线伺服与凸轮协同控制关键技术，破解行业核心难题。硬件配置精准适配，配备33个总线伺服、10个气缸及足量IO点位，实现45-180片/分钟高速稳定输出，其中耳带焊接环节误差严格控制在2毫米以内，可完成从原料上料到成品分拣的全流程自动化。</w:t>
      </w:r>
    </w:p>
    <w:p w14:paraId="06EA2B7B">
      <w:pPr>
        <w:keepNext w:val="0"/>
        <w:keepLines w:val="0"/>
        <w:pageBreakBefore w:val="0"/>
        <w:widowControl/>
        <w:suppressLineNumbers w:val="0"/>
        <w:kinsoku/>
        <w:wordWrap/>
        <w:overflowPunct/>
        <w:topLinePunct w:val="0"/>
        <w:autoSpaceDE/>
        <w:autoSpaceDN/>
        <w:bidi w:val="0"/>
        <w:adjustRightInd/>
        <w:snapToGrid/>
        <w:ind w:left="0" w:leftChars="0" w:firstLine="480" w:firstLineChars="200"/>
        <w:jc w:val="left"/>
        <w:textAlignment w:val="auto"/>
      </w:pPr>
      <w:r>
        <w:rPr>
          <w:rFonts w:ascii="宋体" w:hAnsi="宋体" w:eastAsia="宋体" w:cs="宋体"/>
          <w:kern w:val="0"/>
          <w:sz w:val="24"/>
          <w:szCs w:val="24"/>
          <w:lang w:val="en-US" w:eastAsia="zh-CN" w:bidi="ar"/>
        </w:rPr>
        <w:t>核心创新聚焦技术融合，将PLC多轴协同与凸轮精准定位深度结合，支撑系统实现定标、定长双模式生产，具备一键调速功能，操作便捷高效。模块化设计适配性强，可快速切换不同规格N95口罩生产，商业模式整合硬件销售、软件升级与运维服务，精准对接中小型制造企业与大型防护用品厂商。契合医疗防护自动化趋势，系统技术壁垒显著，经多轮测试验证，长期运行稳定性良好，市场应用前景广阔。</w:t>
      </w:r>
    </w:p>
    <w:p w14:paraId="4B1C0DCD">
      <w:pPr>
        <w:keepNext w:val="0"/>
        <w:keepLines w:val="0"/>
        <w:pageBreakBefore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default" w:ascii="Segoe UI" w:hAnsi="Segoe UI" w:eastAsia="黑体" w:cs="Segoe UI"/>
          <w:b/>
          <w:bCs/>
          <w:i w:val="0"/>
          <w:iCs w:val="0"/>
          <w:caps w:val="0"/>
          <w:color w:val="000000"/>
          <w:spacing w:val="0"/>
          <w:sz w:val="32"/>
          <w:szCs w:val="18"/>
          <w:lang w:val="en-US" w:eastAsia="zh-CN"/>
        </w:rPr>
      </w:pPr>
      <w:bookmarkStart w:id="1" w:name="_Toc22570"/>
      <w:r>
        <w:rPr>
          <w:rFonts w:hint="default" w:ascii="Segoe UI" w:hAnsi="Segoe UI" w:eastAsia="黑体" w:cs="Segoe UI"/>
          <w:b/>
          <w:bCs/>
          <w:i w:val="0"/>
          <w:iCs w:val="0"/>
          <w:caps w:val="0"/>
          <w:color w:val="000000"/>
          <w:spacing w:val="0"/>
          <w:sz w:val="32"/>
          <w:szCs w:val="18"/>
          <w:lang w:val="en-US" w:eastAsia="zh-CN"/>
        </w:rPr>
        <w:t>核心功能</w:t>
      </w:r>
      <w:bookmarkEnd w:id="1"/>
    </w:p>
    <w:p w14:paraId="229F2B8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传统生产依赖人力，不仅效率低下，各工序间缺乏有效协同，直接导致产品一致性差、合格率偏低，这一问题在中小规模口罩厂尤为突出。针对此核心矛盾，本研究以PLC多轴协同控制为突破口，将EtherCAT总线与电子凸轮算法深度整合，构建全自动高速制造系统，实现精度与速度的双重提升。</w:t>
      </w:r>
    </w:p>
    <w:p w14:paraId="00316A8F">
      <w:pPr>
        <w:keepNext w:val="0"/>
        <w:keepLines w:val="0"/>
        <w:widowControl/>
        <w:suppressLineNumbers w:val="0"/>
        <w:jc w:val="left"/>
      </w:pPr>
      <w:r>
        <w:rPr>
          <w:rFonts w:ascii="宋体" w:hAnsi="宋体" w:eastAsia="宋体" w:cs="宋体"/>
          <w:kern w:val="0"/>
          <w:sz w:val="24"/>
          <w:szCs w:val="24"/>
          <w:lang w:val="en-US" w:eastAsia="zh-CN" w:bidi="ar"/>
        </w:rPr>
        <w:t>精度测试表现优异，连续万次耳带焊接测试中，误差稳定控制在2毫米以内，合格率高达99.7%，这一精度直接支撑后续裁切工序±0.5毫米的公差要求，完全契合医疗防护产品的严苛标准。全流程自动化得以实现，从原料上料到成品分拣，无需人工干预，系统日均产能突破两万片，彻底取代传统人工流水线，经实际应用测算，可降低企业60%以上人力成本，同时将操作失误率降至0.3%以下。生产柔性显著提升，系统支持0-180片/分钟无级调速，一键即可响应不同产能需求，无需复杂参数调整。33个总线伺服同步协同，使拉布、封边、焊耳等关键工序动作精密衔接，最高生产速度达传统设备3倍以上，而产线换型调整仅需30分钟。这种快速切换能力，依托模块化机械与电气设计，可灵活适配三层至六层不同规格口罩生产，搭配独立工作的纠偏仪与张力控制器，能有效应对不同克重、不同弹性的无纺布原料，避免布料褶皱、跑偏等问题。智能监控简化操作，系统集成TG765S-XT工业触摸屏，操作者可实时设定生产参数、监控设备运行状态，直观查看各伺服轴、传感器的工作数据。系统内置定标与定长双模式，例如面对带复杂图案的原料，色标检测功能可实时捕捉色标信号、修正切割位置，既保证产品美观度，又确保符合相关生产标准。数据驱动优化运维，以太网通讯模块将产量、合格率、能耗等关键数据实时上传，经系统分析后生成标准化报表，清晰呈现生产短板，为工艺参数优化提供明确依据。基于数据的预防性维护，可提前排查核心部件运行隐患，使系统连续运行故障率控制在0.5%以下，大幅减少停机损失。节能与安全并重，核心部件采用低功耗设计，经8小时连续运行测试，整线能耗较传统产线降低约20%，契合绿色生产理念。多重保护保障安全，急停按钮、缺料检测与软件限位构成全方位防护机制，从硬件与逻辑层面杜绝设备碰撞、人员受伤等风险，完全满足工业环境高强度连续运行要求。</w:t>
      </w:r>
    </w:p>
    <w:sdt>
      <w:sdtPr>
        <w:rPr>
          <w:rFonts w:ascii="宋体" w:hAnsi="宋体" w:eastAsia="宋体" w:cstheme="minorBidi"/>
          <w:kern w:val="2"/>
          <w:sz w:val="21"/>
          <w:szCs w:val="24"/>
          <w:lang w:val="en-US" w:eastAsia="zh-CN" w:bidi="ar-SA"/>
        </w:rPr>
        <w:id w:val="147451255"/>
        <w15:color w:val="DBDBDB"/>
        <w:docPartObj>
          <w:docPartGallery w:val="Table of Contents"/>
          <w:docPartUnique/>
        </w:docPartObj>
      </w:sdtPr>
      <w:sdtEndPr>
        <w:rPr>
          <w:rFonts w:ascii="宋体" w:hAnsi="宋体" w:eastAsia="宋体" w:cstheme="minorBidi"/>
          <w:kern w:val="2"/>
          <w:sz w:val="21"/>
          <w:szCs w:val="24"/>
          <w:lang w:val="en-US" w:eastAsia="zh-CN" w:bidi="ar-SA"/>
        </w:rPr>
      </w:sdtEndPr>
      <w:sdtContent>
        <w:p w14:paraId="6530A867">
          <w:pPr>
            <w:rPr>
              <w:rFonts w:ascii="宋体" w:hAnsi="宋体" w:eastAsia="宋体" w:cstheme="minorBidi"/>
              <w:kern w:val="2"/>
              <w:sz w:val="21"/>
              <w:szCs w:val="24"/>
              <w:lang w:val="en-US" w:eastAsia="zh-CN" w:bidi="ar-SA"/>
            </w:rPr>
          </w:pPr>
          <w:bookmarkStart w:id="2" w:name="_Toc15410"/>
          <w:r>
            <w:rPr>
              <w:rFonts w:ascii="宋体" w:hAnsi="宋体" w:eastAsia="宋体" w:cstheme="minorBidi"/>
              <w:kern w:val="2"/>
              <w:sz w:val="21"/>
              <w:szCs w:val="24"/>
              <w:lang w:val="en-US" w:eastAsia="zh-CN" w:bidi="ar-SA"/>
            </w:rPr>
            <w:br w:type="page"/>
          </w:r>
        </w:p>
        <w:p w14:paraId="52473C88">
          <w:pPr>
            <w:bidi w:val="0"/>
            <w:ind w:firstLine="420" w:firstLineChars="200"/>
            <w:rPr>
              <w:rFonts w:ascii="宋体" w:hAnsi="宋体" w:eastAsia="宋体" w:cstheme="minorBidi"/>
              <w:kern w:val="2"/>
              <w:sz w:val="21"/>
              <w:szCs w:val="24"/>
              <w:lang w:val="en-US" w:eastAsia="zh-CN" w:bidi="ar-SA"/>
            </w:rPr>
          </w:pPr>
        </w:p>
        <w:p w14:paraId="5FFE5E17">
          <w:pPr>
            <w:spacing w:before="0" w:beforeLines="0" w:after="0" w:afterLines="0" w:line="240" w:lineRule="auto"/>
            <w:ind w:left="0" w:leftChars="0" w:right="0" w:rightChars="0" w:firstLine="0" w:firstLineChars="0"/>
            <w:jc w:val="center"/>
            <w:rPr>
              <w:rFonts w:eastAsia="宋体" w:asciiTheme="minorAscii" w:hAnsiTheme="minorAscii" w:cstheme="minorBidi"/>
              <w:kern w:val="2"/>
              <w:sz w:val="24"/>
              <w:szCs w:val="24"/>
              <w:lang w:val="en-US" w:eastAsia="zh-CN" w:bidi="ar-SA"/>
            </w:rPr>
          </w:pPr>
          <w:r>
            <w:rPr>
              <w:rFonts w:ascii="宋体" w:hAnsi="宋体" w:eastAsia="宋体"/>
              <w:sz w:val="21"/>
            </w:rPr>
            <w:t>目录</w:t>
          </w:r>
          <w:r>
            <w:fldChar w:fldCharType="begin"/>
          </w:r>
          <w:r>
            <w:instrText xml:space="preserve">TOC \o "1-2" \h \u </w:instrText>
          </w:r>
          <w:r>
            <w:fldChar w:fldCharType="separate"/>
          </w:r>
        </w:p>
        <w:p w14:paraId="698F53BD">
          <w:pPr>
            <w:pStyle w:val="10"/>
            <w:tabs>
              <w:tab w:val="right" w:leader="dot" w:pos="8306"/>
            </w:tabs>
          </w:pPr>
          <w:r>
            <w:fldChar w:fldCharType="begin"/>
          </w:r>
          <w:r>
            <w:instrText xml:space="preserve"> HYPERLINK \l _Toc167 </w:instrText>
          </w:r>
          <w:r>
            <w:fldChar w:fldCharType="separate"/>
          </w:r>
          <w:r>
            <w:rPr>
              <w:rFonts w:hint="eastAsia"/>
            </w:rPr>
            <w:t>一、</w:t>
          </w:r>
          <w:r>
            <w:rPr>
              <w:rFonts w:hint="default"/>
            </w:rPr>
            <w:t>项目背景</w:t>
          </w:r>
          <w:r>
            <w:tab/>
          </w:r>
          <w:r>
            <w:fldChar w:fldCharType="begin"/>
          </w:r>
          <w:r>
            <w:instrText xml:space="preserve"> PAGEREF _Toc167 \h </w:instrText>
          </w:r>
          <w:r>
            <w:fldChar w:fldCharType="separate"/>
          </w:r>
          <w:r>
            <w:t>1</w:t>
          </w:r>
          <w:r>
            <w:fldChar w:fldCharType="end"/>
          </w:r>
          <w:r>
            <w:fldChar w:fldCharType="end"/>
          </w:r>
        </w:p>
        <w:p w14:paraId="36071BC0">
          <w:pPr>
            <w:pStyle w:val="12"/>
            <w:tabs>
              <w:tab w:val="right" w:leader="dot" w:pos="8306"/>
            </w:tabs>
          </w:pPr>
          <w:r>
            <w:fldChar w:fldCharType="begin"/>
          </w:r>
          <w:r>
            <w:instrText xml:space="preserve"> HYPERLINK \l _Toc8864 </w:instrText>
          </w:r>
          <w:r>
            <w:fldChar w:fldCharType="separate"/>
          </w:r>
          <w:r>
            <w:rPr>
              <w:rFonts w:hint="default" w:ascii="黑体" w:hAnsi="黑体" w:eastAsia="黑体" w:cs="黑体"/>
              <w:lang w:val="en-US" w:eastAsia="zh-CN"/>
            </w:rPr>
            <w:t xml:space="preserve">1.1 </w:t>
          </w:r>
          <w:r>
            <w:rPr>
              <w:rFonts w:hint="default"/>
              <w:lang w:val="en-US" w:eastAsia="zh-CN"/>
            </w:rPr>
            <w:t>社会需求与行业痛点</w:t>
          </w:r>
          <w:r>
            <w:tab/>
          </w:r>
          <w:r>
            <w:fldChar w:fldCharType="begin"/>
          </w:r>
          <w:r>
            <w:instrText xml:space="preserve"> PAGEREF _Toc8864 \h </w:instrText>
          </w:r>
          <w:r>
            <w:fldChar w:fldCharType="separate"/>
          </w:r>
          <w:r>
            <w:t>1</w:t>
          </w:r>
          <w:r>
            <w:fldChar w:fldCharType="end"/>
          </w:r>
          <w:r>
            <w:fldChar w:fldCharType="end"/>
          </w:r>
        </w:p>
        <w:p w14:paraId="469F0637">
          <w:pPr>
            <w:pStyle w:val="12"/>
            <w:tabs>
              <w:tab w:val="right" w:leader="dot" w:pos="8306"/>
            </w:tabs>
          </w:pPr>
          <w:r>
            <w:fldChar w:fldCharType="begin"/>
          </w:r>
          <w:r>
            <w:instrText xml:space="preserve"> HYPERLINK \l _Toc12441 </w:instrText>
          </w:r>
          <w:r>
            <w:fldChar w:fldCharType="separate"/>
          </w:r>
          <w:r>
            <w:rPr>
              <w:rFonts w:hint="default" w:ascii="黑体" w:hAnsi="黑体" w:eastAsia="黑体" w:cs="黑体"/>
              <w:lang w:val="en-US" w:eastAsia="zh-CN"/>
            </w:rPr>
            <w:t xml:space="preserve">1.2 </w:t>
          </w:r>
          <w:r>
            <w:rPr>
              <w:rFonts w:hint="default"/>
              <w:lang w:val="en-US" w:eastAsia="zh-CN"/>
            </w:rPr>
            <w:t>政策与行业趋势</w:t>
          </w:r>
          <w:r>
            <w:tab/>
          </w:r>
          <w:r>
            <w:fldChar w:fldCharType="begin"/>
          </w:r>
          <w:r>
            <w:instrText xml:space="preserve"> PAGEREF _Toc12441 \h </w:instrText>
          </w:r>
          <w:r>
            <w:fldChar w:fldCharType="separate"/>
          </w:r>
          <w:r>
            <w:t>2</w:t>
          </w:r>
          <w:r>
            <w:fldChar w:fldCharType="end"/>
          </w:r>
          <w:r>
            <w:fldChar w:fldCharType="end"/>
          </w:r>
        </w:p>
        <w:p w14:paraId="55A816C0">
          <w:pPr>
            <w:pStyle w:val="12"/>
            <w:tabs>
              <w:tab w:val="right" w:leader="dot" w:pos="8306"/>
            </w:tabs>
          </w:pPr>
          <w:r>
            <w:fldChar w:fldCharType="begin"/>
          </w:r>
          <w:r>
            <w:instrText xml:space="preserve"> HYPERLINK \l _Toc14448 </w:instrText>
          </w:r>
          <w:r>
            <w:fldChar w:fldCharType="separate"/>
          </w:r>
          <w:r>
            <w:rPr>
              <w:rFonts w:hint="default" w:ascii="黑体" w:hAnsi="黑体" w:eastAsia="黑体" w:cs="黑体"/>
              <w:lang w:val="en-US" w:eastAsia="zh-CN"/>
            </w:rPr>
            <w:t xml:space="preserve">1.3 </w:t>
          </w:r>
          <w:r>
            <w:rPr>
              <w:rFonts w:hint="default"/>
              <w:lang w:val="en-US" w:eastAsia="zh-CN"/>
            </w:rPr>
            <w:t>项目核心使命与生态文明价值</w:t>
          </w:r>
          <w:r>
            <w:tab/>
          </w:r>
          <w:r>
            <w:fldChar w:fldCharType="begin"/>
          </w:r>
          <w:r>
            <w:instrText xml:space="preserve"> PAGEREF _Toc14448 \h </w:instrText>
          </w:r>
          <w:r>
            <w:fldChar w:fldCharType="separate"/>
          </w:r>
          <w:r>
            <w:t>3</w:t>
          </w:r>
          <w:r>
            <w:fldChar w:fldCharType="end"/>
          </w:r>
          <w:r>
            <w:fldChar w:fldCharType="end"/>
          </w:r>
        </w:p>
        <w:p w14:paraId="67844D03">
          <w:pPr>
            <w:pStyle w:val="10"/>
            <w:tabs>
              <w:tab w:val="right" w:leader="dot" w:pos="8306"/>
            </w:tabs>
          </w:pPr>
          <w:r>
            <w:fldChar w:fldCharType="begin"/>
          </w:r>
          <w:r>
            <w:instrText xml:space="preserve"> HYPERLINK \l _Toc9046 </w:instrText>
          </w:r>
          <w:r>
            <w:fldChar w:fldCharType="separate"/>
          </w:r>
          <w:r>
            <w:rPr>
              <w:rFonts w:hint="eastAsia"/>
            </w:rPr>
            <w:t>二、</w:t>
          </w:r>
          <w:r>
            <w:rPr>
              <w:rFonts w:hint="default"/>
            </w:rPr>
            <w:t>市场分析</w:t>
          </w:r>
          <w:r>
            <w:rPr>
              <w:rFonts w:hint="eastAsia"/>
              <w:lang w:val="en-US" w:eastAsia="zh-CN"/>
            </w:rPr>
            <w:t>与成本核算</w:t>
          </w:r>
          <w:r>
            <w:tab/>
          </w:r>
          <w:r>
            <w:fldChar w:fldCharType="begin"/>
          </w:r>
          <w:r>
            <w:instrText xml:space="preserve"> PAGEREF _Toc9046 \h </w:instrText>
          </w:r>
          <w:r>
            <w:fldChar w:fldCharType="separate"/>
          </w:r>
          <w:r>
            <w:t>4</w:t>
          </w:r>
          <w:r>
            <w:fldChar w:fldCharType="end"/>
          </w:r>
          <w:r>
            <w:fldChar w:fldCharType="end"/>
          </w:r>
        </w:p>
        <w:p w14:paraId="7831FEBA">
          <w:pPr>
            <w:pStyle w:val="12"/>
            <w:tabs>
              <w:tab w:val="right" w:leader="dot" w:pos="8306"/>
            </w:tabs>
          </w:pPr>
          <w:r>
            <w:fldChar w:fldCharType="begin"/>
          </w:r>
          <w:r>
            <w:instrText xml:space="preserve"> HYPERLINK \l _Toc21589 </w:instrText>
          </w:r>
          <w:r>
            <w:fldChar w:fldCharType="separate"/>
          </w:r>
          <w:r>
            <w:rPr>
              <w:rFonts w:hint="default" w:ascii="黑体" w:hAnsi="黑体" w:eastAsia="黑体" w:cs="黑体"/>
              <w:lang w:val="en-US" w:eastAsia="zh-CN"/>
            </w:rPr>
            <w:t xml:space="preserve">2.1 </w:t>
          </w:r>
          <w:r>
            <w:rPr>
              <w:rFonts w:hint="default"/>
              <w:lang w:val="en-US" w:eastAsia="zh-CN"/>
            </w:rPr>
            <w:t>市场规模与增长潜力</w:t>
          </w:r>
          <w:r>
            <w:tab/>
          </w:r>
          <w:r>
            <w:fldChar w:fldCharType="begin"/>
          </w:r>
          <w:r>
            <w:instrText xml:space="preserve"> PAGEREF _Toc21589 \h </w:instrText>
          </w:r>
          <w:r>
            <w:fldChar w:fldCharType="separate"/>
          </w:r>
          <w:r>
            <w:t>4</w:t>
          </w:r>
          <w:r>
            <w:fldChar w:fldCharType="end"/>
          </w:r>
          <w:r>
            <w:fldChar w:fldCharType="end"/>
          </w:r>
        </w:p>
        <w:p w14:paraId="37CD0514">
          <w:pPr>
            <w:pStyle w:val="12"/>
            <w:tabs>
              <w:tab w:val="right" w:leader="dot" w:pos="8306"/>
            </w:tabs>
          </w:pPr>
          <w:r>
            <w:fldChar w:fldCharType="begin"/>
          </w:r>
          <w:r>
            <w:instrText xml:space="preserve"> HYPERLINK \l _Toc16750 </w:instrText>
          </w:r>
          <w:r>
            <w:fldChar w:fldCharType="separate"/>
          </w:r>
          <w:r>
            <w:rPr>
              <w:rFonts w:hint="default" w:ascii="黑体" w:hAnsi="黑体" w:eastAsia="黑体" w:cs="黑体"/>
              <w:lang w:val="en-US" w:eastAsia="zh-CN"/>
            </w:rPr>
            <w:t xml:space="preserve">2.2 </w:t>
          </w:r>
          <w:r>
            <w:rPr>
              <w:rFonts w:hint="default"/>
              <w:lang w:val="en-US" w:eastAsia="zh-CN"/>
            </w:rPr>
            <w:t>竞争格局分析</w:t>
          </w:r>
          <w:r>
            <w:tab/>
          </w:r>
          <w:r>
            <w:fldChar w:fldCharType="begin"/>
          </w:r>
          <w:r>
            <w:instrText xml:space="preserve"> PAGEREF _Toc16750 \h </w:instrText>
          </w:r>
          <w:r>
            <w:fldChar w:fldCharType="separate"/>
          </w:r>
          <w:r>
            <w:t>6</w:t>
          </w:r>
          <w:r>
            <w:fldChar w:fldCharType="end"/>
          </w:r>
          <w:r>
            <w:fldChar w:fldCharType="end"/>
          </w:r>
        </w:p>
        <w:p w14:paraId="6D3CA079">
          <w:pPr>
            <w:pStyle w:val="12"/>
            <w:tabs>
              <w:tab w:val="right" w:leader="dot" w:pos="8306"/>
            </w:tabs>
          </w:pPr>
          <w:r>
            <w:fldChar w:fldCharType="begin"/>
          </w:r>
          <w:r>
            <w:instrText xml:space="preserve"> HYPERLINK \l _Toc14932 </w:instrText>
          </w:r>
          <w:r>
            <w:fldChar w:fldCharType="separate"/>
          </w:r>
          <w:r>
            <w:rPr>
              <w:rFonts w:hint="default" w:ascii="黑体" w:hAnsi="黑体" w:eastAsia="黑体" w:cs="黑体"/>
              <w:lang w:val="en-US" w:eastAsia="zh-CN"/>
            </w:rPr>
            <w:t xml:space="preserve">2.3 </w:t>
          </w:r>
          <w:r>
            <w:rPr>
              <w:rFonts w:hint="default"/>
              <w:lang w:val="en-US" w:eastAsia="zh-CN"/>
            </w:rPr>
            <w:t>目标市场定位</w:t>
          </w:r>
          <w:r>
            <w:tab/>
          </w:r>
          <w:r>
            <w:fldChar w:fldCharType="begin"/>
          </w:r>
          <w:r>
            <w:instrText xml:space="preserve"> PAGEREF _Toc14932 \h </w:instrText>
          </w:r>
          <w:r>
            <w:fldChar w:fldCharType="separate"/>
          </w:r>
          <w:r>
            <w:t>7</w:t>
          </w:r>
          <w:r>
            <w:fldChar w:fldCharType="end"/>
          </w:r>
          <w:r>
            <w:fldChar w:fldCharType="end"/>
          </w:r>
        </w:p>
        <w:p w14:paraId="30A8D99D">
          <w:pPr>
            <w:pStyle w:val="12"/>
            <w:tabs>
              <w:tab w:val="right" w:leader="dot" w:pos="8306"/>
            </w:tabs>
          </w:pPr>
          <w:r>
            <w:fldChar w:fldCharType="begin"/>
          </w:r>
          <w:r>
            <w:instrText xml:space="preserve"> HYPERLINK \l _Toc3522 </w:instrText>
          </w:r>
          <w:r>
            <w:fldChar w:fldCharType="separate"/>
          </w:r>
          <w:r>
            <w:rPr>
              <w:rFonts w:hint="default" w:ascii="黑体" w:hAnsi="黑体" w:eastAsia="黑体" w:cs="黑体"/>
              <w:lang w:val="en-US" w:eastAsia="zh-CN"/>
            </w:rPr>
            <w:t xml:space="preserve">2.4 </w:t>
          </w:r>
          <w:r>
            <w:rPr>
              <w:rFonts w:hint="default"/>
              <w:lang w:val="en-US" w:eastAsia="zh-CN"/>
            </w:rPr>
            <w:t>成本核算</w:t>
          </w:r>
          <w:r>
            <w:tab/>
          </w:r>
          <w:r>
            <w:fldChar w:fldCharType="begin"/>
          </w:r>
          <w:r>
            <w:instrText xml:space="preserve"> PAGEREF _Toc3522 \h </w:instrText>
          </w:r>
          <w:r>
            <w:fldChar w:fldCharType="separate"/>
          </w:r>
          <w:r>
            <w:t>9</w:t>
          </w:r>
          <w:r>
            <w:fldChar w:fldCharType="end"/>
          </w:r>
          <w:r>
            <w:fldChar w:fldCharType="end"/>
          </w:r>
        </w:p>
        <w:p w14:paraId="19C1B423">
          <w:pPr>
            <w:pStyle w:val="10"/>
            <w:tabs>
              <w:tab w:val="right" w:leader="dot" w:pos="8306"/>
            </w:tabs>
          </w:pPr>
          <w:r>
            <w:fldChar w:fldCharType="begin"/>
          </w:r>
          <w:r>
            <w:instrText xml:space="preserve"> HYPERLINK \l _Toc7432 </w:instrText>
          </w:r>
          <w:r>
            <w:fldChar w:fldCharType="separate"/>
          </w:r>
          <w:r>
            <w:rPr>
              <w:rFonts w:hint="eastAsia"/>
            </w:rPr>
            <w:t>三、</w:t>
          </w:r>
          <w:r>
            <w:rPr>
              <w:rFonts w:hint="default"/>
            </w:rPr>
            <w:t>产品</w:t>
          </w:r>
          <w:r>
            <w:rPr>
              <w:rFonts w:hint="eastAsia"/>
              <w:lang w:val="en-US" w:eastAsia="zh-CN"/>
            </w:rPr>
            <w:t>介绍</w:t>
          </w:r>
          <w:r>
            <w:tab/>
          </w:r>
          <w:r>
            <w:fldChar w:fldCharType="begin"/>
          </w:r>
          <w:r>
            <w:instrText xml:space="preserve"> PAGEREF _Toc7432 \h </w:instrText>
          </w:r>
          <w:r>
            <w:fldChar w:fldCharType="separate"/>
          </w:r>
          <w:r>
            <w:t>10</w:t>
          </w:r>
          <w:r>
            <w:fldChar w:fldCharType="end"/>
          </w:r>
          <w:r>
            <w:fldChar w:fldCharType="end"/>
          </w:r>
        </w:p>
        <w:p w14:paraId="694FA2A2">
          <w:pPr>
            <w:pStyle w:val="12"/>
            <w:tabs>
              <w:tab w:val="right" w:leader="dot" w:pos="8306"/>
            </w:tabs>
          </w:pPr>
          <w:r>
            <w:fldChar w:fldCharType="begin"/>
          </w:r>
          <w:r>
            <w:instrText xml:space="preserve"> HYPERLINK \l _Toc18103 </w:instrText>
          </w:r>
          <w:r>
            <w:fldChar w:fldCharType="separate"/>
          </w:r>
          <w:r>
            <w:rPr>
              <w:rFonts w:hint="default" w:ascii="黑体" w:hAnsi="黑体" w:eastAsia="黑体" w:cs="黑体"/>
              <w:lang w:val="en-US" w:eastAsia="zh-CN"/>
            </w:rPr>
            <w:t xml:space="preserve">3.1 </w:t>
          </w:r>
          <w:r>
            <w:rPr>
              <w:rFonts w:hint="eastAsia"/>
              <w:lang w:val="en-US" w:eastAsia="zh-CN"/>
            </w:rPr>
            <w:t>产品架构设计</w:t>
          </w:r>
          <w:r>
            <w:tab/>
          </w:r>
          <w:r>
            <w:fldChar w:fldCharType="begin"/>
          </w:r>
          <w:r>
            <w:instrText xml:space="preserve"> PAGEREF _Toc18103 \h </w:instrText>
          </w:r>
          <w:r>
            <w:fldChar w:fldCharType="separate"/>
          </w:r>
          <w:r>
            <w:t>10</w:t>
          </w:r>
          <w:r>
            <w:fldChar w:fldCharType="end"/>
          </w:r>
          <w:r>
            <w:fldChar w:fldCharType="end"/>
          </w:r>
        </w:p>
        <w:p w14:paraId="026BC99B">
          <w:pPr>
            <w:pStyle w:val="12"/>
            <w:tabs>
              <w:tab w:val="right" w:leader="dot" w:pos="8306"/>
            </w:tabs>
          </w:pPr>
          <w:r>
            <w:fldChar w:fldCharType="begin"/>
          </w:r>
          <w:r>
            <w:instrText xml:space="preserve"> HYPERLINK \l _Toc9876 </w:instrText>
          </w:r>
          <w:r>
            <w:fldChar w:fldCharType="separate"/>
          </w:r>
          <w:r>
            <w:rPr>
              <w:rFonts w:hint="default" w:ascii="黑体" w:hAnsi="黑体" w:eastAsia="黑体" w:cs="黑体"/>
              <w:lang w:val="en-US" w:eastAsia="zh-CN"/>
            </w:rPr>
            <w:t xml:space="preserve">3.2 </w:t>
          </w:r>
          <w:r>
            <w:rPr>
              <w:rFonts w:hint="eastAsia"/>
              <w:lang w:val="en-US" w:eastAsia="zh-CN"/>
            </w:rPr>
            <w:t>核心</w:t>
          </w:r>
          <w:r>
            <w:rPr>
              <w:rFonts w:hint="default"/>
              <w:lang w:val="en-US" w:eastAsia="zh-CN"/>
            </w:rPr>
            <w:t>硬件</w:t>
          </w:r>
          <w:r>
            <w:rPr>
              <w:rFonts w:hint="eastAsia"/>
              <w:lang w:val="en-US" w:eastAsia="zh-CN"/>
            </w:rPr>
            <w:t>选型</w:t>
          </w:r>
          <w:r>
            <w:tab/>
          </w:r>
          <w:r>
            <w:fldChar w:fldCharType="begin"/>
          </w:r>
          <w:r>
            <w:instrText xml:space="preserve"> PAGEREF _Toc9876 \h </w:instrText>
          </w:r>
          <w:r>
            <w:fldChar w:fldCharType="separate"/>
          </w:r>
          <w:r>
            <w:t>12</w:t>
          </w:r>
          <w:r>
            <w:fldChar w:fldCharType="end"/>
          </w:r>
          <w:r>
            <w:fldChar w:fldCharType="end"/>
          </w:r>
        </w:p>
        <w:p w14:paraId="44F417BA">
          <w:pPr>
            <w:pStyle w:val="12"/>
            <w:tabs>
              <w:tab w:val="right" w:leader="dot" w:pos="8306"/>
            </w:tabs>
          </w:pPr>
          <w:r>
            <w:fldChar w:fldCharType="begin"/>
          </w:r>
          <w:r>
            <w:instrText xml:space="preserve"> HYPERLINK \l _Toc1520 </w:instrText>
          </w:r>
          <w:r>
            <w:fldChar w:fldCharType="separate"/>
          </w:r>
          <w:r>
            <w:rPr>
              <w:rFonts w:hint="default" w:ascii="黑体" w:hAnsi="黑体" w:eastAsia="黑体" w:cs="黑体"/>
              <w:lang w:val="en-US" w:eastAsia="zh-CN"/>
            </w:rPr>
            <w:t xml:space="preserve">3.3 </w:t>
          </w:r>
          <w:r>
            <w:rPr>
              <w:rFonts w:hint="default"/>
              <w:lang w:val="en-US" w:eastAsia="zh-CN"/>
            </w:rPr>
            <w:t>核心技术方案</w:t>
          </w:r>
          <w:r>
            <w:tab/>
          </w:r>
          <w:r>
            <w:fldChar w:fldCharType="begin"/>
          </w:r>
          <w:r>
            <w:instrText xml:space="preserve"> PAGEREF _Toc1520 \h </w:instrText>
          </w:r>
          <w:r>
            <w:fldChar w:fldCharType="separate"/>
          </w:r>
          <w:r>
            <w:t>13</w:t>
          </w:r>
          <w:r>
            <w:fldChar w:fldCharType="end"/>
          </w:r>
          <w:r>
            <w:fldChar w:fldCharType="end"/>
          </w:r>
        </w:p>
        <w:p w14:paraId="4A2CFC6F">
          <w:pPr>
            <w:pStyle w:val="12"/>
            <w:tabs>
              <w:tab w:val="right" w:leader="dot" w:pos="8306"/>
            </w:tabs>
          </w:pPr>
          <w:r>
            <w:fldChar w:fldCharType="begin"/>
          </w:r>
          <w:r>
            <w:instrText xml:space="preserve"> HYPERLINK \l _Toc27122 </w:instrText>
          </w:r>
          <w:r>
            <w:fldChar w:fldCharType="separate"/>
          </w:r>
          <w:r>
            <w:rPr>
              <w:rFonts w:hint="default" w:ascii="黑体" w:hAnsi="黑体" w:eastAsia="黑体" w:cs="黑体"/>
              <w:lang w:val="en-US" w:eastAsia="zh-CN"/>
            </w:rPr>
            <w:t xml:space="preserve">3.4 </w:t>
          </w:r>
          <w:r>
            <w:rPr>
              <w:rFonts w:hint="default"/>
              <w:lang w:val="en-US" w:eastAsia="zh-CN"/>
            </w:rPr>
            <w:t>关键模块详细设计</w:t>
          </w:r>
          <w:r>
            <w:tab/>
          </w:r>
          <w:r>
            <w:fldChar w:fldCharType="begin"/>
          </w:r>
          <w:r>
            <w:instrText xml:space="preserve"> PAGEREF _Toc27122 \h </w:instrText>
          </w:r>
          <w:r>
            <w:fldChar w:fldCharType="separate"/>
          </w:r>
          <w:r>
            <w:t>15</w:t>
          </w:r>
          <w:r>
            <w:fldChar w:fldCharType="end"/>
          </w:r>
          <w:r>
            <w:fldChar w:fldCharType="end"/>
          </w:r>
        </w:p>
        <w:p w14:paraId="7CF3FB3B">
          <w:pPr>
            <w:pStyle w:val="12"/>
            <w:tabs>
              <w:tab w:val="right" w:leader="dot" w:pos="8306"/>
            </w:tabs>
          </w:pPr>
          <w:r>
            <w:fldChar w:fldCharType="begin"/>
          </w:r>
          <w:r>
            <w:instrText xml:space="preserve"> HYPERLINK \l _Toc31449 </w:instrText>
          </w:r>
          <w:r>
            <w:fldChar w:fldCharType="separate"/>
          </w:r>
          <w:r>
            <w:rPr>
              <w:rFonts w:hint="default" w:ascii="黑体" w:hAnsi="黑体" w:eastAsia="黑体" w:cs="黑体"/>
              <w:lang w:val="en-US" w:eastAsia="zh-CN"/>
            </w:rPr>
            <w:t xml:space="preserve">3.5 </w:t>
          </w:r>
          <w:r>
            <w:rPr>
              <w:rFonts w:hint="default"/>
              <w:lang w:val="en-US" w:eastAsia="zh-CN"/>
            </w:rPr>
            <w:t>主控单元设计</w:t>
          </w:r>
          <w:r>
            <w:tab/>
          </w:r>
          <w:r>
            <w:fldChar w:fldCharType="begin"/>
          </w:r>
          <w:r>
            <w:instrText xml:space="preserve"> PAGEREF _Toc31449 \h </w:instrText>
          </w:r>
          <w:r>
            <w:fldChar w:fldCharType="separate"/>
          </w:r>
          <w:r>
            <w:t>23</w:t>
          </w:r>
          <w:r>
            <w:fldChar w:fldCharType="end"/>
          </w:r>
          <w:r>
            <w:fldChar w:fldCharType="end"/>
          </w:r>
        </w:p>
        <w:p w14:paraId="3B2D55D1">
          <w:pPr>
            <w:pStyle w:val="12"/>
            <w:tabs>
              <w:tab w:val="right" w:leader="dot" w:pos="8306"/>
            </w:tabs>
          </w:pPr>
          <w:r>
            <w:fldChar w:fldCharType="begin"/>
          </w:r>
          <w:r>
            <w:instrText xml:space="preserve"> HYPERLINK \l _Toc2002 </w:instrText>
          </w:r>
          <w:r>
            <w:fldChar w:fldCharType="separate"/>
          </w:r>
          <w:r>
            <w:rPr>
              <w:rFonts w:hint="default" w:ascii="黑体" w:hAnsi="黑体" w:eastAsia="黑体" w:cs="黑体"/>
              <w:lang w:val="en-US" w:eastAsia="zh-CN"/>
            </w:rPr>
            <w:t xml:space="preserve">3.6 </w:t>
          </w:r>
          <w:r>
            <w:rPr>
              <w:rFonts w:hint="default"/>
              <w:lang w:val="en-US" w:eastAsia="zh-CN"/>
            </w:rPr>
            <w:t>配套服务体系</w:t>
          </w:r>
          <w:r>
            <w:tab/>
          </w:r>
          <w:r>
            <w:fldChar w:fldCharType="begin"/>
          </w:r>
          <w:r>
            <w:instrText xml:space="preserve"> PAGEREF _Toc2002 \h </w:instrText>
          </w:r>
          <w:r>
            <w:fldChar w:fldCharType="separate"/>
          </w:r>
          <w:r>
            <w:t>26</w:t>
          </w:r>
          <w:r>
            <w:fldChar w:fldCharType="end"/>
          </w:r>
          <w:r>
            <w:fldChar w:fldCharType="end"/>
          </w:r>
        </w:p>
        <w:p w14:paraId="06AFBE7A">
          <w:pPr>
            <w:pStyle w:val="10"/>
            <w:tabs>
              <w:tab w:val="right" w:leader="dot" w:pos="8306"/>
            </w:tabs>
          </w:pPr>
          <w:r>
            <w:fldChar w:fldCharType="begin"/>
          </w:r>
          <w:r>
            <w:instrText xml:space="preserve"> HYPERLINK \l _Toc32393 </w:instrText>
          </w:r>
          <w:r>
            <w:fldChar w:fldCharType="separate"/>
          </w:r>
          <w:r>
            <w:rPr>
              <w:rFonts w:hint="eastAsia"/>
              <w:lang w:val="en-US" w:eastAsia="zh-CN"/>
            </w:rPr>
            <w:t>四、</w:t>
          </w:r>
          <w:r>
            <w:rPr>
              <w:rFonts w:hint="default"/>
              <w:lang w:val="en-US" w:eastAsia="zh-CN"/>
            </w:rPr>
            <w:t>系统调试与结果</w:t>
          </w:r>
          <w:r>
            <w:tab/>
          </w:r>
          <w:r>
            <w:fldChar w:fldCharType="begin"/>
          </w:r>
          <w:r>
            <w:instrText xml:space="preserve"> PAGEREF _Toc32393 \h </w:instrText>
          </w:r>
          <w:r>
            <w:fldChar w:fldCharType="separate"/>
          </w:r>
          <w:r>
            <w:t>28</w:t>
          </w:r>
          <w:r>
            <w:fldChar w:fldCharType="end"/>
          </w:r>
          <w:r>
            <w:fldChar w:fldCharType="end"/>
          </w:r>
        </w:p>
        <w:p w14:paraId="1CCE37F7">
          <w:pPr>
            <w:pStyle w:val="12"/>
            <w:tabs>
              <w:tab w:val="right" w:leader="dot" w:pos="8306"/>
            </w:tabs>
          </w:pPr>
          <w:r>
            <w:fldChar w:fldCharType="begin"/>
          </w:r>
          <w:r>
            <w:instrText xml:space="preserve"> HYPERLINK \l _Toc27504 </w:instrText>
          </w:r>
          <w:r>
            <w:fldChar w:fldCharType="separate"/>
          </w:r>
          <w:r>
            <w:rPr>
              <w:rFonts w:hint="default" w:ascii="黑体" w:hAnsi="黑体" w:eastAsia="黑体" w:cs="黑体"/>
              <w:lang w:val="en-US" w:eastAsia="zh-CN"/>
            </w:rPr>
            <w:t xml:space="preserve">4.1 </w:t>
          </w:r>
          <w:r>
            <w:rPr>
              <w:rFonts w:hint="default"/>
              <w:lang w:val="en-US" w:eastAsia="zh-CN"/>
            </w:rPr>
            <w:t>系统调试</w:t>
          </w:r>
          <w:r>
            <w:tab/>
          </w:r>
          <w:r>
            <w:fldChar w:fldCharType="begin"/>
          </w:r>
          <w:r>
            <w:instrText xml:space="preserve"> PAGEREF _Toc27504 \h </w:instrText>
          </w:r>
          <w:r>
            <w:fldChar w:fldCharType="separate"/>
          </w:r>
          <w:r>
            <w:t>28</w:t>
          </w:r>
          <w:r>
            <w:fldChar w:fldCharType="end"/>
          </w:r>
          <w:r>
            <w:fldChar w:fldCharType="end"/>
          </w:r>
        </w:p>
        <w:p w14:paraId="53936550">
          <w:pPr>
            <w:pStyle w:val="12"/>
            <w:tabs>
              <w:tab w:val="right" w:leader="dot" w:pos="8306"/>
            </w:tabs>
          </w:pPr>
          <w:r>
            <w:fldChar w:fldCharType="begin"/>
          </w:r>
          <w:r>
            <w:instrText xml:space="preserve"> HYPERLINK \l _Toc29640 </w:instrText>
          </w:r>
          <w:r>
            <w:fldChar w:fldCharType="separate"/>
          </w:r>
          <w:r>
            <w:rPr>
              <w:rFonts w:hint="default" w:ascii="黑体" w:hAnsi="黑体" w:eastAsia="黑体" w:cs="黑体"/>
              <w:lang w:val="en-US" w:eastAsia="zh-CN"/>
            </w:rPr>
            <w:t xml:space="preserve">4.2 </w:t>
          </w:r>
          <w:r>
            <w:rPr>
              <w:rFonts w:hint="default"/>
              <w:lang w:val="en-US" w:eastAsia="zh-CN"/>
            </w:rPr>
            <w:t>测试结果</w:t>
          </w:r>
          <w:r>
            <w:tab/>
          </w:r>
          <w:r>
            <w:fldChar w:fldCharType="begin"/>
          </w:r>
          <w:r>
            <w:instrText xml:space="preserve"> PAGEREF _Toc29640 \h </w:instrText>
          </w:r>
          <w:r>
            <w:fldChar w:fldCharType="separate"/>
          </w:r>
          <w:r>
            <w:t>30</w:t>
          </w:r>
          <w:r>
            <w:fldChar w:fldCharType="end"/>
          </w:r>
          <w:r>
            <w:fldChar w:fldCharType="end"/>
          </w:r>
        </w:p>
        <w:p w14:paraId="3D2EE245">
          <w:pPr>
            <w:pStyle w:val="10"/>
            <w:tabs>
              <w:tab w:val="right" w:leader="dot" w:pos="8306"/>
            </w:tabs>
          </w:pPr>
          <w:r>
            <w:fldChar w:fldCharType="begin"/>
          </w:r>
          <w:r>
            <w:instrText xml:space="preserve"> HYPERLINK \l _Toc26370 </w:instrText>
          </w:r>
          <w:r>
            <w:fldChar w:fldCharType="separate"/>
          </w:r>
          <w:r>
            <w:rPr>
              <w:rFonts w:hint="eastAsia"/>
              <w:lang w:val="en-US" w:eastAsia="zh-CN"/>
            </w:rPr>
            <w:t>五、</w:t>
          </w:r>
          <w:r>
            <w:rPr>
              <w:rFonts w:hint="default"/>
              <w:lang w:val="en-US" w:eastAsia="zh-CN"/>
            </w:rPr>
            <w:t>商业模式</w:t>
          </w:r>
          <w:r>
            <w:tab/>
          </w:r>
          <w:r>
            <w:fldChar w:fldCharType="begin"/>
          </w:r>
          <w:r>
            <w:instrText xml:space="preserve"> PAGEREF _Toc26370 \h </w:instrText>
          </w:r>
          <w:r>
            <w:fldChar w:fldCharType="separate"/>
          </w:r>
          <w:r>
            <w:t>32</w:t>
          </w:r>
          <w:r>
            <w:fldChar w:fldCharType="end"/>
          </w:r>
          <w:r>
            <w:fldChar w:fldCharType="end"/>
          </w:r>
        </w:p>
        <w:p w14:paraId="21E5012F">
          <w:pPr>
            <w:pStyle w:val="12"/>
            <w:tabs>
              <w:tab w:val="right" w:leader="dot" w:pos="8306"/>
            </w:tabs>
          </w:pPr>
          <w:r>
            <w:fldChar w:fldCharType="begin"/>
          </w:r>
          <w:r>
            <w:instrText xml:space="preserve"> HYPERLINK \l _Toc15426 </w:instrText>
          </w:r>
          <w:r>
            <w:fldChar w:fldCharType="separate"/>
          </w:r>
          <w:r>
            <w:rPr>
              <w:rFonts w:hint="default" w:ascii="黑体" w:hAnsi="黑体" w:eastAsia="黑体" w:cs="黑体"/>
              <w:lang w:val="en-US" w:eastAsia="zh-CN"/>
            </w:rPr>
            <w:t xml:space="preserve">5.1 </w:t>
          </w:r>
          <w:r>
            <w:rPr>
              <w:rFonts w:hint="default"/>
              <w:lang w:val="en-US" w:eastAsia="zh-CN"/>
            </w:rPr>
            <w:t>核心商业模式：“</w:t>
          </w:r>
          <w:r>
            <w:rPr>
              <w:rFonts w:hint="eastAsia"/>
              <w:lang w:val="en-US" w:eastAsia="zh-CN"/>
            </w:rPr>
            <w:t>硬件</w:t>
          </w:r>
          <w:r>
            <w:rPr>
              <w:rFonts w:hint="default"/>
              <w:lang w:val="en-US" w:eastAsia="zh-CN"/>
            </w:rPr>
            <w:t>+</w:t>
          </w:r>
          <w:r>
            <w:rPr>
              <w:rFonts w:hint="eastAsia"/>
              <w:lang w:val="en-US" w:eastAsia="zh-CN"/>
            </w:rPr>
            <w:t>软件</w:t>
          </w:r>
          <w:r>
            <w:rPr>
              <w:rFonts w:hint="default"/>
              <w:lang w:val="en-US" w:eastAsia="zh-CN"/>
            </w:rPr>
            <w:t>+</w:t>
          </w:r>
          <w:r>
            <w:rPr>
              <w:rFonts w:hint="eastAsia"/>
              <w:lang w:val="en-US" w:eastAsia="zh-CN"/>
            </w:rPr>
            <w:t>服务</w:t>
          </w:r>
          <w:r>
            <w:rPr>
              <w:rFonts w:hint="default"/>
              <w:lang w:val="en-US" w:eastAsia="zh-CN"/>
            </w:rPr>
            <w:t>”三位一体</w:t>
          </w:r>
          <w:r>
            <w:tab/>
          </w:r>
          <w:r>
            <w:fldChar w:fldCharType="begin"/>
          </w:r>
          <w:r>
            <w:instrText xml:space="preserve"> PAGEREF _Toc15426 \h </w:instrText>
          </w:r>
          <w:r>
            <w:fldChar w:fldCharType="separate"/>
          </w:r>
          <w:r>
            <w:t>32</w:t>
          </w:r>
          <w:r>
            <w:fldChar w:fldCharType="end"/>
          </w:r>
          <w:r>
            <w:fldChar w:fldCharType="end"/>
          </w:r>
        </w:p>
        <w:p w14:paraId="23F1D832">
          <w:pPr>
            <w:pStyle w:val="12"/>
            <w:tabs>
              <w:tab w:val="right" w:leader="dot" w:pos="8306"/>
            </w:tabs>
          </w:pPr>
          <w:r>
            <w:fldChar w:fldCharType="begin"/>
          </w:r>
          <w:r>
            <w:instrText xml:space="preserve"> HYPERLINK \l _Toc29868 </w:instrText>
          </w:r>
          <w:r>
            <w:fldChar w:fldCharType="separate"/>
          </w:r>
          <w:r>
            <w:rPr>
              <w:rFonts w:hint="default" w:ascii="黑体" w:hAnsi="黑体" w:eastAsia="黑体" w:cs="黑体"/>
              <w:lang w:val="en-US" w:eastAsia="zh-CN"/>
            </w:rPr>
            <w:t xml:space="preserve">5.2 </w:t>
          </w:r>
          <w:r>
            <w:rPr>
              <w:rFonts w:hint="default"/>
              <w:lang w:val="en-US" w:eastAsia="zh-CN"/>
            </w:rPr>
            <w:t>市场价值</w:t>
          </w:r>
          <w:r>
            <w:rPr>
              <w:rFonts w:hint="eastAsia"/>
              <w:lang w:val="en-US" w:eastAsia="zh-CN"/>
            </w:rPr>
            <w:t>与</w:t>
          </w:r>
          <w:r>
            <w:rPr>
              <w:rFonts w:hint="default"/>
              <w:lang w:val="en-US" w:eastAsia="zh-CN"/>
            </w:rPr>
            <w:t>未来展望</w:t>
          </w:r>
          <w:r>
            <w:tab/>
          </w:r>
          <w:r>
            <w:fldChar w:fldCharType="begin"/>
          </w:r>
          <w:r>
            <w:instrText xml:space="preserve"> PAGEREF _Toc29868 \h </w:instrText>
          </w:r>
          <w:r>
            <w:fldChar w:fldCharType="separate"/>
          </w:r>
          <w:r>
            <w:t>33</w:t>
          </w:r>
          <w:r>
            <w:fldChar w:fldCharType="end"/>
          </w:r>
          <w:r>
            <w:fldChar w:fldCharType="end"/>
          </w:r>
        </w:p>
        <w:p w14:paraId="7449F6D5">
          <w:pPr>
            <w:pStyle w:val="10"/>
            <w:tabs>
              <w:tab w:val="right" w:leader="dot" w:pos="8306"/>
            </w:tabs>
          </w:pPr>
          <w:r>
            <w:fldChar w:fldCharType="begin"/>
          </w:r>
          <w:r>
            <w:instrText xml:space="preserve"> HYPERLINK \l _Toc5150 </w:instrText>
          </w:r>
          <w:r>
            <w:fldChar w:fldCharType="separate"/>
          </w:r>
          <w:r>
            <w:rPr>
              <w:rFonts w:hint="eastAsia"/>
              <w:lang w:val="en-US" w:eastAsia="zh-CN"/>
            </w:rPr>
            <w:t>六、</w:t>
          </w:r>
          <w:r>
            <w:rPr>
              <w:rFonts w:hint="default"/>
              <w:lang w:val="en-US" w:eastAsia="zh-CN"/>
            </w:rPr>
            <w:t>公司发展战略</w:t>
          </w:r>
          <w:r>
            <w:tab/>
          </w:r>
          <w:r>
            <w:fldChar w:fldCharType="begin"/>
          </w:r>
          <w:r>
            <w:instrText xml:space="preserve"> PAGEREF _Toc5150 \h </w:instrText>
          </w:r>
          <w:r>
            <w:fldChar w:fldCharType="separate"/>
          </w:r>
          <w:r>
            <w:t>34</w:t>
          </w:r>
          <w:r>
            <w:fldChar w:fldCharType="end"/>
          </w:r>
          <w:r>
            <w:fldChar w:fldCharType="end"/>
          </w:r>
        </w:p>
        <w:p w14:paraId="4AAA88D1">
          <w:pPr>
            <w:pStyle w:val="12"/>
            <w:tabs>
              <w:tab w:val="right" w:leader="dot" w:pos="8306"/>
            </w:tabs>
          </w:pPr>
          <w:r>
            <w:fldChar w:fldCharType="begin"/>
          </w:r>
          <w:r>
            <w:instrText xml:space="preserve"> HYPERLINK \l _Toc18472 </w:instrText>
          </w:r>
          <w:r>
            <w:fldChar w:fldCharType="separate"/>
          </w:r>
          <w:r>
            <w:rPr>
              <w:rFonts w:hint="default" w:ascii="黑体" w:hAnsi="黑体" w:eastAsia="黑体" w:cs="黑体"/>
              <w:lang w:val="en-US" w:eastAsia="zh-CN"/>
            </w:rPr>
            <w:t xml:space="preserve">6.1 </w:t>
          </w:r>
          <w:r>
            <w:rPr>
              <w:rFonts w:hint="default"/>
              <w:lang w:val="en-US" w:eastAsia="zh-CN"/>
            </w:rPr>
            <w:t>战略核心目标</w:t>
          </w:r>
          <w:r>
            <w:tab/>
          </w:r>
          <w:r>
            <w:fldChar w:fldCharType="begin"/>
          </w:r>
          <w:r>
            <w:instrText xml:space="preserve"> PAGEREF _Toc18472 \h </w:instrText>
          </w:r>
          <w:r>
            <w:fldChar w:fldCharType="separate"/>
          </w:r>
          <w:r>
            <w:t>34</w:t>
          </w:r>
          <w:r>
            <w:fldChar w:fldCharType="end"/>
          </w:r>
          <w:r>
            <w:fldChar w:fldCharType="end"/>
          </w:r>
        </w:p>
        <w:p w14:paraId="36E5BBBB">
          <w:pPr>
            <w:pStyle w:val="12"/>
            <w:tabs>
              <w:tab w:val="right" w:leader="dot" w:pos="8306"/>
            </w:tabs>
          </w:pPr>
          <w:r>
            <w:fldChar w:fldCharType="begin"/>
          </w:r>
          <w:r>
            <w:instrText xml:space="preserve"> HYPERLINK \l _Toc28571 </w:instrText>
          </w:r>
          <w:r>
            <w:fldChar w:fldCharType="separate"/>
          </w:r>
          <w:r>
            <w:rPr>
              <w:rFonts w:hint="default" w:ascii="黑体" w:hAnsi="黑体" w:eastAsia="黑体" w:cs="黑体"/>
              <w:lang w:val="en-US" w:eastAsia="zh-CN"/>
            </w:rPr>
            <w:t xml:space="preserve">6.2 </w:t>
          </w:r>
          <w:r>
            <w:rPr>
              <w:rFonts w:hint="default"/>
              <w:lang w:val="en-US" w:eastAsia="zh-CN"/>
            </w:rPr>
            <w:t>阶段性发展战略</w:t>
          </w:r>
          <w:r>
            <w:tab/>
          </w:r>
          <w:r>
            <w:fldChar w:fldCharType="begin"/>
          </w:r>
          <w:r>
            <w:instrText xml:space="preserve"> PAGEREF _Toc28571 \h </w:instrText>
          </w:r>
          <w:r>
            <w:fldChar w:fldCharType="separate"/>
          </w:r>
          <w:r>
            <w:t>34</w:t>
          </w:r>
          <w:r>
            <w:fldChar w:fldCharType="end"/>
          </w:r>
          <w:r>
            <w:fldChar w:fldCharType="end"/>
          </w:r>
        </w:p>
        <w:p w14:paraId="127339EA">
          <w:pPr>
            <w:pStyle w:val="12"/>
            <w:tabs>
              <w:tab w:val="right" w:leader="dot" w:pos="8306"/>
            </w:tabs>
          </w:pPr>
          <w:r>
            <w:fldChar w:fldCharType="begin"/>
          </w:r>
          <w:r>
            <w:instrText xml:space="preserve"> HYPERLINK \l _Toc32378 </w:instrText>
          </w:r>
          <w:r>
            <w:fldChar w:fldCharType="separate"/>
          </w:r>
          <w:r>
            <w:rPr>
              <w:rFonts w:hint="default" w:ascii="黑体" w:hAnsi="黑体" w:eastAsia="黑体" w:cs="黑体"/>
              <w:lang w:val="en-US" w:eastAsia="zh-CN"/>
            </w:rPr>
            <w:t xml:space="preserve">6.3 </w:t>
          </w:r>
          <w:r>
            <w:rPr>
              <w:rFonts w:hint="default"/>
              <w:lang w:val="en-US" w:eastAsia="zh-CN"/>
            </w:rPr>
            <w:t>核心战略支撑</w:t>
          </w:r>
          <w:r>
            <w:tab/>
          </w:r>
          <w:r>
            <w:fldChar w:fldCharType="begin"/>
          </w:r>
          <w:r>
            <w:instrText xml:space="preserve"> PAGEREF _Toc32378 \h </w:instrText>
          </w:r>
          <w:r>
            <w:fldChar w:fldCharType="separate"/>
          </w:r>
          <w:r>
            <w:t>36</w:t>
          </w:r>
          <w:r>
            <w:fldChar w:fldCharType="end"/>
          </w:r>
          <w:r>
            <w:fldChar w:fldCharType="end"/>
          </w:r>
        </w:p>
        <w:p w14:paraId="30FC6492">
          <w:pPr>
            <w:pStyle w:val="10"/>
            <w:tabs>
              <w:tab w:val="right" w:leader="dot" w:pos="8306"/>
            </w:tabs>
          </w:pPr>
          <w:r>
            <w:fldChar w:fldCharType="begin"/>
          </w:r>
          <w:r>
            <w:instrText xml:space="preserve"> HYPERLINK \l _Toc4714 </w:instrText>
          </w:r>
          <w:r>
            <w:fldChar w:fldCharType="separate"/>
          </w:r>
          <w:r>
            <w:rPr>
              <w:rFonts w:hint="eastAsia"/>
              <w:lang w:val="en-US" w:eastAsia="zh-CN"/>
            </w:rPr>
            <w:t>七、</w:t>
          </w:r>
          <w:r>
            <w:rPr>
              <w:rFonts w:hint="default"/>
              <w:lang w:val="en-US" w:eastAsia="zh-CN"/>
            </w:rPr>
            <w:t>财务分析</w:t>
          </w:r>
          <w:r>
            <w:tab/>
          </w:r>
          <w:r>
            <w:fldChar w:fldCharType="begin"/>
          </w:r>
          <w:r>
            <w:instrText xml:space="preserve"> PAGEREF _Toc4714 \h </w:instrText>
          </w:r>
          <w:r>
            <w:fldChar w:fldCharType="separate"/>
          </w:r>
          <w:r>
            <w:t>36</w:t>
          </w:r>
          <w:r>
            <w:fldChar w:fldCharType="end"/>
          </w:r>
          <w:r>
            <w:fldChar w:fldCharType="end"/>
          </w:r>
        </w:p>
        <w:p w14:paraId="56DC23A8">
          <w:pPr>
            <w:pStyle w:val="12"/>
            <w:tabs>
              <w:tab w:val="right" w:leader="dot" w:pos="8306"/>
            </w:tabs>
          </w:pPr>
          <w:r>
            <w:fldChar w:fldCharType="begin"/>
          </w:r>
          <w:r>
            <w:instrText xml:space="preserve"> HYPERLINK \l _Toc25699 </w:instrText>
          </w:r>
          <w:r>
            <w:fldChar w:fldCharType="separate"/>
          </w:r>
          <w:r>
            <w:rPr>
              <w:rFonts w:hint="default" w:ascii="黑体" w:hAnsi="黑体" w:eastAsia="黑体" w:cs="黑体"/>
              <w:lang w:val="en-US" w:eastAsia="zh-CN"/>
            </w:rPr>
            <w:t xml:space="preserve">7.1 </w:t>
          </w:r>
          <w:r>
            <w:rPr>
              <w:rFonts w:hint="default"/>
              <w:lang w:val="en-US" w:eastAsia="zh-CN"/>
            </w:rPr>
            <w:t>财务假设</w:t>
          </w:r>
          <w:r>
            <w:tab/>
          </w:r>
          <w:r>
            <w:fldChar w:fldCharType="begin"/>
          </w:r>
          <w:r>
            <w:instrText xml:space="preserve"> PAGEREF _Toc25699 \h </w:instrText>
          </w:r>
          <w:r>
            <w:fldChar w:fldCharType="separate"/>
          </w:r>
          <w:r>
            <w:t>36</w:t>
          </w:r>
          <w:r>
            <w:fldChar w:fldCharType="end"/>
          </w:r>
          <w:r>
            <w:fldChar w:fldCharType="end"/>
          </w:r>
        </w:p>
        <w:p w14:paraId="780714E3">
          <w:pPr>
            <w:pStyle w:val="12"/>
            <w:tabs>
              <w:tab w:val="right" w:leader="dot" w:pos="8306"/>
            </w:tabs>
          </w:pPr>
          <w:r>
            <w:fldChar w:fldCharType="begin"/>
          </w:r>
          <w:r>
            <w:instrText xml:space="preserve"> HYPERLINK \l _Toc5836 </w:instrText>
          </w:r>
          <w:r>
            <w:fldChar w:fldCharType="separate"/>
          </w:r>
          <w:r>
            <w:rPr>
              <w:rFonts w:hint="default" w:ascii="黑体" w:hAnsi="黑体" w:eastAsia="黑体" w:cs="黑体"/>
              <w:lang w:val="en-US" w:eastAsia="zh-CN"/>
            </w:rPr>
            <w:t xml:space="preserve">7.2 </w:t>
          </w:r>
          <w:r>
            <w:rPr>
              <w:rFonts w:hint="default"/>
              <w:lang w:val="en-US" w:eastAsia="zh-CN"/>
            </w:rPr>
            <w:t>核心财务数据</w:t>
          </w:r>
          <w:r>
            <w:tab/>
          </w:r>
          <w:r>
            <w:fldChar w:fldCharType="begin"/>
          </w:r>
          <w:r>
            <w:instrText xml:space="preserve"> PAGEREF _Toc5836 \h </w:instrText>
          </w:r>
          <w:r>
            <w:fldChar w:fldCharType="separate"/>
          </w:r>
          <w:r>
            <w:t>37</w:t>
          </w:r>
          <w:r>
            <w:fldChar w:fldCharType="end"/>
          </w:r>
          <w:r>
            <w:fldChar w:fldCharType="end"/>
          </w:r>
        </w:p>
        <w:p w14:paraId="76FA53A9">
          <w:pPr>
            <w:pStyle w:val="12"/>
            <w:tabs>
              <w:tab w:val="right" w:leader="dot" w:pos="8306"/>
            </w:tabs>
          </w:pPr>
          <w:r>
            <w:fldChar w:fldCharType="begin"/>
          </w:r>
          <w:r>
            <w:instrText xml:space="preserve"> HYPERLINK \l _Toc20864 </w:instrText>
          </w:r>
          <w:r>
            <w:fldChar w:fldCharType="separate"/>
          </w:r>
          <w:r>
            <w:rPr>
              <w:rFonts w:hint="default" w:ascii="黑体" w:hAnsi="黑体" w:eastAsia="黑体" w:cs="黑体"/>
              <w:lang w:val="en-US" w:eastAsia="zh-CN"/>
            </w:rPr>
            <w:t xml:space="preserve">7.3 </w:t>
          </w:r>
          <w:r>
            <w:rPr>
              <w:rFonts w:hint="default"/>
              <w:lang w:val="en-US" w:eastAsia="zh-CN"/>
            </w:rPr>
            <w:t>盈利能力与风险应对</w:t>
          </w:r>
          <w:r>
            <w:tab/>
          </w:r>
          <w:r>
            <w:fldChar w:fldCharType="begin"/>
          </w:r>
          <w:r>
            <w:instrText xml:space="preserve"> PAGEREF _Toc20864 \h </w:instrText>
          </w:r>
          <w:r>
            <w:fldChar w:fldCharType="separate"/>
          </w:r>
          <w:r>
            <w:t>37</w:t>
          </w:r>
          <w:r>
            <w:fldChar w:fldCharType="end"/>
          </w:r>
          <w:r>
            <w:fldChar w:fldCharType="end"/>
          </w:r>
        </w:p>
        <w:p w14:paraId="554B1077">
          <w:pPr>
            <w:pStyle w:val="10"/>
            <w:tabs>
              <w:tab w:val="right" w:leader="dot" w:pos="8306"/>
            </w:tabs>
          </w:pPr>
          <w:r>
            <w:fldChar w:fldCharType="begin"/>
          </w:r>
          <w:r>
            <w:instrText xml:space="preserve"> HYPERLINK \l _Toc2762 </w:instrText>
          </w:r>
          <w:r>
            <w:fldChar w:fldCharType="separate"/>
          </w:r>
          <w:r>
            <w:rPr>
              <w:rFonts w:hint="eastAsia"/>
              <w:lang w:val="en-US" w:eastAsia="zh-CN"/>
            </w:rPr>
            <w:t>八、</w:t>
          </w:r>
          <w:r>
            <w:rPr>
              <w:rFonts w:hint="default"/>
              <w:lang w:val="en-US" w:eastAsia="zh-CN"/>
            </w:rPr>
            <w:t>风险防范</w:t>
          </w:r>
          <w:r>
            <w:tab/>
          </w:r>
          <w:r>
            <w:fldChar w:fldCharType="begin"/>
          </w:r>
          <w:r>
            <w:instrText xml:space="preserve"> PAGEREF _Toc2762 \h </w:instrText>
          </w:r>
          <w:r>
            <w:fldChar w:fldCharType="separate"/>
          </w:r>
          <w:r>
            <w:t>37</w:t>
          </w:r>
          <w:r>
            <w:fldChar w:fldCharType="end"/>
          </w:r>
          <w:r>
            <w:fldChar w:fldCharType="end"/>
          </w:r>
        </w:p>
        <w:p w14:paraId="4118CD45">
          <w:pPr>
            <w:pStyle w:val="12"/>
            <w:tabs>
              <w:tab w:val="right" w:leader="dot" w:pos="8306"/>
            </w:tabs>
          </w:pPr>
          <w:r>
            <w:fldChar w:fldCharType="begin"/>
          </w:r>
          <w:r>
            <w:instrText xml:space="preserve"> HYPERLINK \l _Toc17707 </w:instrText>
          </w:r>
          <w:r>
            <w:fldChar w:fldCharType="separate"/>
          </w:r>
          <w:r>
            <w:rPr>
              <w:rFonts w:hint="default" w:ascii="黑体" w:hAnsi="黑体" w:eastAsia="黑体" w:cs="黑体"/>
              <w:lang w:val="en-US" w:eastAsia="zh-CN"/>
            </w:rPr>
            <w:t xml:space="preserve">8.1 </w:t>
          </w:r>
          <w:r>
            <w:rPr>
              <w:rFonts w:hint="default"/>
              <w:lang w:val="en-US" w:eastAsia="zh-CN"/>
            </w:rPr>
            <w:t>技术风险</w:t>
          </w:r>
          <w:r>
            <w:tab/>
          </w:r>
          <w:r>
            <w:fldChar w:fldCharType="begin"/>
          </w:r>
          <w:r>
            <w:instrText xml:space="preserve"> PAGEREF _Toc17707 \h </w:instrText>
          </w:r>
          <w:r>
            <w:fldChar w:fldCharType="separate"/>
          </w:r>
          <w:r>
            <w:t>37</w:t>
          </w:r>
          <w:r>
            <w:fldChar w:fldCharType="end"/>
          </w:r>
          <w:r>
            <w:fldChar w:fldCharType="end"/>
          </w:r>
        </w:p>
        <w:p w14:paraId="67359833">
          <w:pPr>
            <w:pStyle w:val="12"/>
            <w:tabs>
              <w:tab w:val="right" w:leader="dot" w:pos="8306"/>
            </w:tabs>
          </w:pPr>
          <w:r>
            <w:fldChar w:fldCharType="begin"/>
          </w:r>
          <w:r>
            <w:instrText xml:space="preserve"> HYPERLINK \l _Toc15356 </w:instrText>
          </w:r>
          <w:r>
            <w:fldChar w:fldCharType="separate"/>
          </w:r>
          <w:r>
            <w:rPr>
              <w:rFonts w:hint="default" w:ascii="黑体" w:hAnsi="黑体" w:eastAsia="黑体" w:cs="黑体"/>
              <w:lang w:val="en-US" w:eastAsia="zh-CN"/>
            </w:rPr>
            <w:t xml:space="preserve">8.2 </w:t>
          </w:r>
          <w:r>
            <w:rPr>
              <w:rFonts w:hint="default"/>
              <w:lang w:val="en-US" w:eastAsia="zh-CN"/>
            </w:rPr>
            <w:t>市场风险</w:t>
          </w:r>
          <w:r>
            <w:tab/>
          </w:r>
          <w:r>
            <w:fldChar w:fldCharType="begin"/>
          </w:r>
          <w:r>
            <w:instrText xml:space="preserve"> PAGEREF _Toc15356 \h </w:instrText>
          </w:r>
          <w:r>
            <w:fldChar w:fldCharType="separate"/>
          </w:r>
          <w:r>
            <w:t>38</w:t>
          </w:r>
          <w:r>
            <w:fldChar w:fldCharType="end"/>
          </w:r>
          <w:r>
            <w:fldChar w:fldCharType="end"/>
          </w:r>
        </w:p>
        <w:p w14:paraId="6E4BCDE1">
          <w:pPr>
            <w:pStyle w:val="12"/>
            <w:tabs>
              <w:tab w:val="right" w:leader="dot" w:pos="8306"/>
            </w:tabs>
          </w:pPr>
          <w:r>
            <w:fldChar w:fldCharType="begin"/>
          </w:r>
          <w:r>
            <w:instrText xml:space="preserve"> HYPERLINK \l _Toc7066 </w:instrText>
          </w:r>
          <w:r>
            <w:fldChar w:fldCharType="separate"/>
          </w:r>
          <w:r>
            <w:rPr>
              <w:rFonts w:hint="default" w:ascii="黑体" w:hAnsi="黑体" w:eastAsia="黑体" w:cs="黑体"/>
              <w:lang w:val="en-US" w:eastAsia="zh-CN"/>
            </w:rPr>
            <w:t xml:space="preserve">8.3 </w:t>
          </w:r>
          <w:r>
            <w:rPr>
              <w:rFonts w:hint="default"/>
              <w:lang w:val="en-US" w:eastAsia="zh-CN"/>
            </w:rPr>
            <w:t>供应链风险</w:t>
          </w:r>
          <w:r>
            <w:tab/>
          </w:r>
          <w:r>
            <w:fldChar w:fldCharType="begin"/>
          </w:r>
          <w:r>
            <w:instrText xml:space="preserve"> PAGEREF _Toc7066 \h </w:instrText>
          </w:r>
          <w:r>
            <w:fldChar w:fldCharType="separate"/>
          </w:r>
          <w:r>
            <w:t>39</w:t>
          </w:r>
          <w:r>
            <w:fldChar w:fldCharType="end"/>
          </w:r>
          <w:r>
            <w:fldChar w:fldCharType="end"/>
          </w:r>
        </w:p>
        <w:p w14:paraId="2592A977">
          <w:pPr>
            <w:pStyle w:val="12"/>
            <w:tabs>
              <w:tab w:val="right" w:leader="dot" w:pos="8306"/>
            </w:tabs>
          </w:pPr>
          <w:r>
            <w:fldChar w:fldCharType="begin"/>
          </w:r>
          <w:r>
            <w:instrText xml:space="preserve"> HYPERLINK \l _Toc20156 </w:instrText>
          </w:r>
          <w:r>
            <w:fldChar w:fldCharType="separate"/>
          </w:r>
          <w:r>
            <w:rPr>
              <w:rFonts w:hint="default" w:ascii="黑体" w:hAnsi="黑体" w:eastAsia="黑体" w:cs="黑体"/>
              <w:lang w:val="en-US" w:eastAsia="zh-CN"/>
            </w:rPr>
            <w:t xml:space="preserve">8.4 </w:t>
          </w:r>
          <w:r>
            <w:rPr>
              <w:rFonts w:hint="default"/>
              <w:lang w:val="en-US" w:eastAsia="zh-CN"/>
            </w:rPr>
            <w:t>运营风险</w:t>
          </w:r>
          <w:r>
            <w:tab/>
          </w:r>
          <w:r>
            <w:fldChar w:fldCharType="begin"/>
          </w:r>
          <w:r>
            <w:instrText xml:space="preserve"> PAGEREF _Toc20156 \h </w:instrText>
          </w:r>
          <w:r>
            <w:fldChar w:fldCharType="separate"/>
          </w:r>
          <w:r>
            <w:t>40</w:t>
          </w:r>
          <w:r>
            <w:fldChar w:fldCharType="end"/>
          </w:r>
          <w:r>
            <w:fldChar w:fldCharType="end"/>
          </w:r>
        </w:p>
        <w:p w14:paraId="3C6E9A29">
          <w:pPr>
            <w:pStyle w:val="12"/>
            <w:tabs>
              <w:tab w:val="right" w:leader="dot" w:pos="8306"/>
            </w:tabs>
          </w:pPr>
          <w:r>
            <w:fldChar w:fldCharType="begin"/>
          </w:r>
          <w:r>
            <w:instrText xml:space="preserve"> HYPERLINK \l _Toc9431 </w:instrText>
          </w:r>
          <w:r>
            <w:fldChar w:fldCharType="separate"/>
          </w:r>
          <w:r>
            <w:rPr>
              <w:rFonts w:hint="default" w:ascii="黑体" w:hAnsi="黑体" w:eastAsia="黑体" w:cs="黑体"/>
              <w:lang w:val="en-US" w:eastAsia="zh-CN"/>
            </w:rPr>
            <w:t xml:space="preserve">8.5 </w:t>
          </w:r>
          <w:r>
            <w:rPr>
              <w:rFonts w:hint="default"/>
              <w:lang w:val="en-US" w:eastAsia="zh-CN"/>
            </w:rPr>
            <w:t>政策与合规风险</w:t>
          </w:r>
          <w:r>
            <w:tab/>
          </w:r>
          <w:r>
            <w:fldChar w:fldCharType="begin"/>
          </w:r>
          <w:r>
            <w:instrText xml:space="preserve"> PAGEREF _Toc9431 \h </w:instrText>
          </w:r>
          <w:r>
            <w:fldChar w:fldCharType="separate"/>
          </w:r>
          <w:r>
            <w:t>40</w:t>
          </w:r>
          <w:r>
            <w:fldChar w:fldCharType="end"/>
          </w:r>
          <w:r>
            <w:fldChar w:fldCharType="end"/>
          </w:r>
        </w:p>
        <w:p w14:paraId="31E5D8E8">
          <w:pPr>
            <w:pStyle w:val="10"/>
            <w:tabs>
              <w:tab w:val="right" w:leader="dot" w:pos="8306"/>
            </w:tabs>
          </w:pPr>
          <w:r>
            <w:fldChar w:fldCharType="begin"/>
          </w:r>
          <w:r>
            <w:instrText xml:space="preserve"> HYPERLINK \l _Toc25525 </w:instrText>
          </w:r>
          <w:r>
            <w:fldChar w:fldCharType="separate"/>
          </w:r>
          <w:r>
            <w:rPr>
              <w:rFonts w:hint="eastAsia"/>
              <w:lang w:val="en-US" w:eastAsia="zh-CN"/>
            </w:rPr>
            <w:t>九、</w:t>
          </w:r>
          <w:r>
            <w:rPr>
              <w:rFonts w:hint="default"/>
              <w:lang w:val="en-US" w:eastAsia="zh-CN"/>
            </w:rPr>
            <w:t>资本退出</w:t>
          </w:r>
          <w:r>
            <w:tab/>
          </w:r>
          <w:r>
            <w:fldChar w:fldCharType="begin"/>
          </w:r>
          <w:r>
            <w:instrText xml:space="preserve"> PAGEREF _Toc25525 \h </w:instrText>
          </w:r>
          <w:r>
            <w:fldChar w:fldCharType="separate"/>
          </w:r>
          <w:r>
            <w:t>41</w:t>
          </w:r>
          <w:r>
            <w:fldChar w:fldCharType="end"/>
          </w:r>
          <w:r>
            <w:fldChar w:fldCharType="end"/>
          </w:r>
        </w:p>
        <w:p w14:paraId="3AAE85D7">
          <w:pPr>
            <w:pStyle w:val="12"/>
            <w:tabs>
              <w:tab w:val="right" w:leader="dot" w:pos="8306"/>
            </w:tabs>
          </w:pPr>
          <w:r>
            <w:fldChar w:fldCharType="begin"/>
          </w:r>
          <w:r>
            <w:instrText xml:space="preserve"> HYPERLINK \l _Toc29821 </w:instrText>
          </w:r>
          <w:r>
            <w:fldChar w:fldCharType="separate"/>
          </w:r>
          <w:r>
            <w:rPr>
              <w:rFonts w:hint="default" w:ascii="黑体" w:hAnsi="黑体" w:eastAsia="黑体" w:cs="黑体"/>
              <w:lang w:val="en-US" w:eastAsia="zh-CN"/>
            </w:rPr>
            <w:t xml:space="preserve">9.1 </w:t>
          </w:r>
          <w:r>
            <w:rPr>
              <w:rFonts w:hint="default"/>
              <w:lang w:val="en-US" w:eastAsia="zh-CN"/>
            </w:rPr>
            <w:t>退出原则</w:t>
          </w:r>
          <w:r>
            <w:tab/>
          </w:r>
          <w:r>
            <w:fldChar w:fldCharType="begin"/>
          </w:r>
          <w:r>
            <w:instrText xml:space="preserve"> PAGEREF _Toc29821 \h </w:instrText>
          </w:r>
          <w:r>
            <w:fldChar w:fldCharType="separate"/>
          </w:r>
          <w:r>
            <w:t>41</w:t>
          </w:r>
          <w:r>
            <w:fldChar w:fldCharType="end"/>
          </w:r>
          <w:r>
            <w:fldChar w:fldCharType="end"/>
          </w:r>
        </w:p>
        <w:p w14:paraId="0CC2A12C">
          <w:pPr>
            <w:pStyle w:val="12"/>
            <w:tabs>
              <w:tab w:val="right" w:leader="dot" w:pos="8306"/>
            </w:tabs>
          </w:pPr>
          <w:r>
            <w:fldChar w:fldCharType="begin"/>
          </w:r>
          <w:r>
            <w:instrText xml:space="preserve"> HYPERLINK \l _Toc26417 </w:instrText>
          </w:r>
          <w:r>
            <w:fldChar w:fldCharType="separate"/>
          </w:r>
          <w:r>
            <w:rPr>
              <w:rFonts w:hint="default" w:ascii="黑体" w:hAnsi="黑体" w:eastAsia="黑体" w:cs="黑体"/>
              <w:lang w:val="en-US" w:eastAsia="zh-CN"/>
            </w:rPr>
            <w:t xml:space="preserve">9.2 </w:t>
          </w:r>
          <w:r>
            <w:rPr>
              <w:rFonts w:hint="default"/>
              <w:lang w:val="en-US" w:eastAsia="zh-CN"/>
            </w:rPr>
            <w:t>退出方式</w:t>
          </w:r>
          <w:r>
            <w:tab/>
          </w:r>
          <w:r>
            <w:fldChar w:fldCharType="begin"/>
          </w:r>
          <w:r>
            <w:instrText xml:space="preserve"> PAGEREF _Toc26417 \h </w:instrText>
          </w:r>
          <w:r>
            <w:fldChar w:fldCharType="separate"/>
          </w:r>
          <w:r>
            <w:t>41</w:t>
          </w:r>
          <w:r>
            <w:fldChar w:fldCharType="end"/>
          </w:r>
          <w:r>
            <w:fldChar w:fldCharType="end"/>
          </w:r>
        </w:p>
        <w:p w14:paraId="58E82ED0">
          <w:pPr>
            <w:pStyle w:val="12"/>
            <w:tabs>
              <w:tab w:val="right" w:leader="dot" w:pos="8306"/>
            </w:tabs>
          </w:pPr>
          <w:r>
            <w:fldChar w:fldCharType="begin"/>
          </w:r>
          <w:r>
            <w:instrText xml:space="preserve"> HYPERLINK \l _Toc14434 </w:instrText>
          </w:r>
          <w:r>
            <w:fldChar w:fldCharType="separate"/>
          </w:r>
          <w:r>
            <w:rPr>
              <w:rFonts w:hint="default" w:ascii="黑体" w:hAnsi="黑体" w:eastAsia="黑体" w:cs="黑体"/>
              <w:lang w:val="en-US" w:eastAsia="zh-CN"/>
            </w:rPr>
            <w:t xml:space="preserve">9.3 </w:t>
          </w:r>
          <w:r>
            <w:rPr>
              <w:rFonts w:hint="default"/>
              <w:lang w:val="en-US" w:eastAsia="zh-CN"/>
            </w:rPr>
            <w:t>退出保障</w:t>
          </w:r>
          <w:r>
            <w:tab/>
          </w:r>
          <w:r>
            <w:fldChar w:fldCharType="begin"/>
          </w:r>
          <w:r>
            <w:instrText xml:space="preserve"> PAGEREF _Toc14434 \h </w:instrText>
          </w:r>
          <w:r>
            <w:fldChar w:fldCharType="separate"/>
          </w:r>
          <w:r>
            <w:t>42</w:t>
          </w:r>
          <w:r>
            <w:fldChar w:fldCharType="end"/>
          </w:r>
          <w:r>
            <w:fldChar w:fldCharType="end"/>
          </w:r>
        </w:p>
        <w:p w14:paraId="6A75D628">
          <w:pPr>
            <w:spacing w:before="0" w:beforeLines="0" w:after="0" w:afterLines="0" w:line="240" w:lineRule="auto"/>
            <w:ind w:left="0" w:leftChars="0" w:right="0" w:rightChars="0" w:firstLine="0" w:firstLineChars="0"/>
            <w:jc w:val="center"/>
            <w:sectPr>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r>
            <w:fldChar w:fldCharType="end"/>
          </w:r>
        </w:p>
      </w:sdtContent>
    </w:sdt>
    <w:p w14:paraId="012BA9D4">
      <w:pPr>
        <w:pStyle w:val="2"/>
        <w:bidi w:val="0"/>
        <w:rPr>
          <w:rFonts w:hint="default"/>
        </w:rPr>
      </w:pPr>
      <w:bookmarkStart w:id="3" w:name="_Toc167"/>
      <w:r>
        <w:rPr>
          <w:rFonts w:hint="default"/>
        </w:rPr>
        <w:t>项目背景</w:t>
      </w:r>
      <w:bookmarkEnd w:id="2"/>
      <w:bookmarkEnd w:id="3"/>
    </w:p>
    <w:p w14:paraId="2786A640">
      <w:pPr>
        <w:pStyle w:val="3"/>
        <w:numPr>
          <w:ilvl w:val="0"/>
          <w:numId w:val="4"/>
        </w:numPr>
        <w:bidi w:val="0"/>
        <w:ind w:left="0" w:leftChars="0" w:firstLine="0" w:firstLineChars="0"/>
        <w:rPr>
          <w:rFonts w:hint="default"/>
          <w:lang w:val="en-US" w:eastAsia="zh-CN"/>
        </w:rPr>
      </w:pPr>
      <w:bookmarkStart w:id="4" w:name="_Toc8864"/>
      <w:bookmarkStart w:id="5" w:name="_Toc22068"/>
      <w:r>
        <w:rPr>
          <w:rFonts w:hint="default"/>
          <w:lang w:val="en-US" w:eastAsia="zh-CN"/>
        </w:rPr>
        <w:t>社会需求与行业痛点</w:t>
      </w:r>
      <w:bookmarkEnd w:id="4"/>
      <w:bookmarkEnd w:id="5"/>
    </w:p>
    <w:p w14:paraId="613FF65E">
      <w:pPr>
        <w:pStyle w:val="4"/>
        <w:numPr>
          <w:ilvl w:val="0"/>
          <w:numId w:val="5"/>
        </w:numPr>
        <w:bidi w:val="0"/>
        <w:ind w:left="0" w:leftChars="0" w:firstLine="0" w:firstLineChars="0"/>
        <w:rPr>
          <w:rFonts w:hint="eastAsia"/>
          <w:lang w:val="en-US" w:eastAsia="zh-CN"/>
        </w:rPr>
      </w:pPr>
      <w:r>
        <w:rPr>
          <w:rFonts w:hint="eastAsia"/>
          <w:lang w:val="en-US" w:eastAsia="zh-CN"/>
        </w:rPr>
        <w:t>核心需求缺口</w:t>
      </w:r>
    </w:p>
    <w:p w14:paraId="702CC541">
      <w:pPr>
        <w:keepNext w:val="0"/>
        <w:keepLines w:val="0"/>
        <w:widowControl/>
        <w:suppressLineNumbers w:val="0"/>
        <w:jc w:val="left"/>
      </w:pPr>
      <w:r>
        <w:rPr>
          <w:rFonts w:ascii="宋体" w:hAnsi="宋体" w:eastAsia="宋体" w:cs="宋体"/>
          <w:kern w:val="0"/>
          <w:sz w:val="24"/>
          <w:szCs w:val="24"/>
          <w:lang w:val="en-US" w:eastAsia="zh-CN" w:bidi="ar"/>
        </w:rPr>
        <w:t>防护需求趋稳，要求持续攀升。后疫情时代，N95口罩仍是医疗、工业领域核心防护装备，市场对其产能规模与质量一致性的要求未减，而传统生产线的短板愈发凸显。无论是医院、疾控中心等医疗场景的常态化防护，还是矿山、化工等工业领域的职业防护，均对N95口罩的供应稳定性与质量可靠性提出了更高标准，尤其是医疗场景，对口罩密封性能的要求近乎苛刻。</w:t>
      </w:r>
    </w:p>
    <w:p w14:paraId="6CFF5F66">
      <w:pPr>
        <w:keepNext w:val="0"/>
        <w:keepLines w:val="0"/>
        <w:widowControl/>
        <w:suppressLineNumbers w:val="0"/>
        <w:jc w:val="left"/>
      </w:pPr>
      <w:r>
        <w:rPr>
          <w:rFonts w:ascii="宋体" w:hAnsi="宋体" w:eastAsia="宋体" w:cs="宋体"/>
          <w:kern w:val="0"/>
          <w:sz w:val="24"/>
          <w:szCs w:val="24"/>
          <w:lang w:val="en-US" w:eastAsia="zh-CN" w:bidi="ar"/>
        </w:rPr>
        <w:t>传统产线半自动化，人工依赖度高，某中小型口罩厂实测显示，人均日均产能仅4600片，人力成本占生产成本的43%，直接困住企业规模化扩产与盈利提升的脚步。该工厂共有20名一线操作工人，日均总产量仅9.2万片，难以承接批量订单，且人工操作易受疲劳、操作不规范等因素影响，进一步拉低产能稳定性，旺季时甚至出现订单违约的情况，严重影响企业口碑。</w:t>
      </w:r>
    </w:p>
    <w:p w14:paraId="6FDB0F68">
      <w:pPr>
        <w:keepNext w:val="0"/>
        <w:keepLines w:val="0"/>
        <w:widowControl/>
        <w:suppressLineNumbers w:val="0"/>
        <w:jc w:val="left"/>
      </w:pPr>
      <w:r>
        <w:rPr>
          <w:rFonts w:ascii="宋体" w:hAnsi="宋体" w:eastAsia="宋体" w:cs="宋体"/>
          <w:kern w:val="0"/>
          <w:sz w:val="24"/>
          <w:szCs w:val="24"/>
          <w:lang w:val="en-US" w:eastAsia="zh-CN" w:bidi="ar"/>
        </w:rPr>
        <w:t>市场需求多样化，换型响应滞后。从3层基础款到6层高效过滤款的规格切换，传统生产线需拆解机械、重校参数，换型周期达2.2-2.8小时，难以适配多批次、小批量订单。当前市场上，除常规3层N95口罩外，针对儿童、老年人的专用款，以及针对高风险场景的6层高效过滤款需求日益增长，传统设备的换型短板，让企业无法快速响应细分市场需求，只能错失市场先机。</w:t>
      </w:r>
    </w:p>
    <w:p w14:paraId="63614B3F">
      <w:pPr>
        <w:keepNext w:val="0"/>
        <w:keepLines w:val="0"/>
        <w:widowControl/>
        <w:suppressLineNumbers w:val="0"/>
        <w:jc w:val="left"/>
      </w:pPr>
      <w:r>
        <w:rPr>
          <w:rFonts w:ascii="宋体" w:hAnsi="宋体" w:eastAsia="宋体" w:cs="宋体"/>
          <w:kern w:val="0"/>
          <w:sz w:val="24"/>
          <w:szCs w:val="24"/>
          <w:lang w:val="en-US" w:eastAsia="zh-CN" w:bidi="ar"/>
        </w:rPr>
        <w:t>精度不足拉低合格率，某医疗器械检测报告指出，传统设备耳带焊接横向偏差达5.3-6.1mm，鼻梁条偏移超3mm，产品合格率仅82%-86%，远低于GB19083-2010规定的95%合格线。不合格产品多因密封性能不达标被退回，不仅造成原材料浪费，还增加了检测、返工成本，某中型口罩厂每月因不合格产品损失超10万元，进一步压缩盈利空间。</w:t>
      </w:r>
    </w:p>
    <w:p w14:paraId="6834A8B1">
      <w:pPr>
        <w:keepNext w:val="0"/>
        <w:keepLines w:val="0"/>
        <w:widowControl/>
        <w:suppressLineNumbers w:val="0"/>
        <w:jc w:val="left"/>
      </w:pPr>
      <w:r>
        <w:rPr>
          <w:rFonts w:ascii="宋体" w:hAnsi="宋体" w:eastAsia="宋体" w:cs="宋体"/>
          <w:kern w:val="0"/>
          <w:sz w:val="24"/>
          <w:szCs w:val="24"/>
          <w:lang w:val="en-US" w:eastAsia="zh-CN" w:bidi="ar"/>
        </w:rPr>
        <w:t>应急产能缺口显著，某地区疫情局部爆发时，传统生产线峰值产能仅52-58片/分钟，单日供给不足8万片，而区域日需求达32万片，75%的缺口暴露应急保障短板，也凸显全自动高速智造系统的研发必要性。当时该区域医疗机构、社区防控点均出现口罩紧缺，传统设备的产能局限，无法快速填补应急缺口，给公共卫生防控工作带来极大压力。</w:t>
      </w:r>
    </w:p>
    <w:p w14:paraId="6AFCAB6E">
      <w:pPr>
        <w:pStyle w:val="4"/>
        <w:numPr>
          <w:ilvl w:val="0"/>
          <w:numId w:val="5"/>
        </w:numPr>
        <w:bidi w:val="0"/>
        <w:ind w:left="0" w:leftChars="0" w:firstLine="0" w:firstLineChars="0"/>
        <w:rPr>
          <w:rFonts w:hint="default"/>
          <w:lang w:val="en-US" w:eastAsia="zh-CN"/>
        </w:rPr>
      </w:pPr>
      <w:r>
        <w:rPr>
          <w:rFonts w:hint="default"/>
          <w:lang w:val="en-US" w:eastAsia="zh-CN"/>
        </w:rPr>
        <w:t>行业现存痛点</w:t>
      </w:r>
    </w:p>
    <w:p w14:paraId="729BF122">
      <w:pPr>
        <w:keepNext w:val="0"/>
        <w:keepLines w:val="0"/>
        <w:widowControl/>
        <w:suppressLineNumbers w:val="0"/>
        <w:jc w:val="left"/>
      </w:pPr>
      <w:bookmarkStart w:id="6" w:name="_Toc21140"/>
      <w:r>
        <w:rPr>
          <w:rFonts w:ascii="宋体" w:hAnsi="宋体" w:eastAsia="宋体" w:cs="宋体"/>
          <w:kern w:val="0"/>
          <w:sz w:val="24"/>
          <w:szCs w:val="24"/>
          <w:lang w:val="en-US" w:eastAsia="zh-CN" w:bidi="ar"/>
        </w:rPr>
        <w:t>多轴协同能力缺失，单一PLC控制架构的传统设备，拉布、封边、裁切时序难以同步，某厂实测布料褶皱发生率达12%，裁切偏差超1mm的次品占比达8%。该工厂主要生产3层N95口罩，布料褶皱会直接导致封边不严密，裁切偏差则会影响口罩尺寸合规性，这些次品无法流入市场，只能报废处理，进一步增加了原材料损耗与生产成本。</w:t>
      </w:r>
    </w:p>
    <w:p w14:paraId="162435B9">
      <w:pPr>
        <w:keepNext w:val="0"/>
        <w:keepLines w:val="0"/>
        <w:widowControl/>
        <w:suppressLineNumbers w:val="0"/>
        <w:jc w:val="left"/>
      </w:pPr>
      <w:r>
        <w:rPr>
          <w:rFonts w:ascii="宋体" w:hAnsi="宋体" w:eastAsia="宋体" w:cs="宋体"/>
          <w:kern w:val="0"/>
          <w:sz w:val="24"/>
          <w:szCs w:val="24"/>
          <w:lang w:val="en-US" w:eastAsia="zh-CN" w:bidi="ar"/>
        </w:rPr>
        <w:t>通讯延迟致定位偏差，传统脉冲控制信号传输延迟达15-20ms，高速生产（≥60片/分钟）时，焊耳滑台与布料进给相对位移超3mm，无法实现精准定位，这是核心技术瓶颈。在高速生产场景下，哪怕微小的定位偏差，都会导致耳带焊接错位、漏焊，严重影响口罩密封性能，且这种偏差难以通过人工调整弥补，只能降低生产速度，陷入“效率与精度不可兼得”的困境。</w:t>
      </w:r>
    </w:p>
    <w:p w14:paraId="2AA9AF56">
      <w:pPr>
        <w:keepNext w:val="0"/>
        <w:keepLines w:val="0"/>
        <w:widowControl/>
        <w:suppressLineNumbers w:val="0"/>
        <w:jc w:val="left"/>
      </w:pPr>
      <w:r>
        <w:rPr>
          <w:rFonts w:ascii="宋体" w:hAnsi="宋体" w:eastAsia="宋体" w:cs="宋体"/>
          <w:kern w:val="0"/>
          <w:sz w:val="24"/>
          <w:szCs w:val="24"/>
          <w:lang w:val="en-US" w:eastAsia="zh-CN" w:bidi="ar"/>
        </w:rPr>
        <w:t>设备兼容性极差，不同品牌伺服与传感器通讯协议不兼容，某企业集成A品牌伺服与B品牌色标传感器时，需额外加装转换模块，后期运维人工成本增加40%。该企业为降低初期采购成本，选用了不同品牌的零部件，后期升级设备、更换故障部件时，需专业技术人员调试协议，不仅耗时费力，还经常出现通讯故障，平均每月因兼容性问题导致的停机时间超8小时。</w:t>
      </w:r>
    </w:p>
    <w:p w14:paraId="77BEA33D">
      <w:pPr>
        <w:keepNext w:val="0"/>
        <w:keepLines w:val="0"/>
        <w:widowControl/>
        <w:suppressLineNumbers w:val="0"/>
        <w:jc w:val="left"/>
      </w:pPr>
      <w:r>
        <w:rPr>
          <w:rFonts w:ascii="宋体" w:hAnsi="宋体" w:eastAsia="宋体" w:cs="宋体"/>
          <w:kern w:val="0"/>
          <w:sz w:val="24"/>
          <w:szCs w:val="24"/>
          <w:lang w:val="en-US" w:eastAsia="zh-CN" w:bidi="ar"/>
        </w:rPr>
        <w:t>能耗高且稳定性差，传统产线控制逻辑冗余，单只口罩能耗0.021kWh，较先进设备高32%；缺乏故障预警，轴承磨损、传感器失效需停机排查，平均维修耗时2.3小时，单月停机产能损失超1.2万片。按单套设备年运行300天计算，传统设备每年较先进设备多消耗约1.5万kWh电费，且故障停机不仅损失产能，还可能导致订单交付延误，面临违约赔偿风险。</w:t>
      </w:r>
    </w:p>
    <w:p w14:paraId="4AC695CC">
      <w:pPr>
        <w:keepNext w:val="0"/>
        <w:keepLines w:val="0"/>
        <w:widowControl/>
        <w:suppressLineNumbers w:val="0"/>
        <w:jc w:val="left"/>
      </w:pPr>
      <w:r>
        <w:rPr>
          <w:rFonts w:ascii="宋体" w:hAnsi="宋体" w:eastAsia="宋体" w:cs="宋体"/>
          <w:kern w:val="0"/>
          <w:sz w:val="24"/>
          <w:szCs w:val="24"/>
          <w:lang w:val="en-US" w:eastAsia="zh-CN" w:bidi="ar"/>
        </w:rPr>
        <w:t>中小企业转型受阻，高端自动化设备单套超200万元，而多数中小企业设备预算仅50-80万元，技术与资金双重限制，留下高性价比、易操作设备的市场空白。多数中小口罩企业注册资本不足500万元，盈利能力有限，无力承担高端设备的采购成本，且缺乏专业的技术运维团队，即便采购高端设备，也难以发挥其全部效能，只能维持传统半自动化生产模式。</w:t>
      </w:r>
    </w:p>
    <w:p w14:paraId="6FC4B373">
      <w:pPr>
        <w:pStyle w:val="3"/>
        <w:numPr>
          <w:ilvl w:val="0"/>
          <w:numId w:val="4"/>
        </w:numPr>
        <w:bidi w:val="0"/>
        <w:ind w:left="0" w:leftChars="0" w:firstLine="0" w:firstLineChars="0"/>
        <w:rPr>
          <w:rFonts w:hint="default"/>
          <w:lang w:val="en-US" w:eastAsia="zh-CN"/>
        </w:rPr>
      </w:pPr>
      <w:bookmarkStart w:id="7" w:name="_Toc12441"/>
      <w:r>
        <w:rPr>
          <w:rFonts w:hint="default"/>
          <w:lang w:val="en-US" w:eastAsia="zh-CN"/>
        </w:rPr>
        <w:t>政策与行业趋势</w:t>
      </w:r>
      <w:bookmarkEnd w:id="6"/>
      <w:bookmarkEnd w:id="7"/>
    </w:p>
    <w:p w14:paraId="2D18C150">
      <w:pPr>
        <w:pStyle w:val="4"/>
        <w:numPr>
          <w:ilvl w:val="0"/>
          <w:numId w:val="6"/>
        </w:numPr>
        <w:bidi w:val="0"/>
        <w:ind w:left="0" w:leftChars="0" w:firstLine="0" w:firstLineChars="0"/>
        <w:rPr>
          <w:rFonts w:hint="eastAsia"/>
          <w:lang w:val="en-US" w:eastAsia="zh-CN"/>
        </w:rPr>
      </w:pPr>
      <w:r>
        <w:rPr>
          <w:rFonts w:hint="eastAsia"/>
          <w:lang w:val="en-US" w:eastAsia="zh-CN"/>
        </w:rPr>
        <w:t>政策支持导向</w:t>
      </w:r>
    </w:p>
    <w:p w14:paraId="73784687">
      <w:pPr>
        <w:keepNext w:val="0"/>
        <w:keepLines w:val="0"/>
        <w:widowControl/>
        <w:suppressLineNumbers w:val="0"/>
        <w:jc w:val="left"/>
      </w:pPr>
      <w:r>
        <w:rPr>
          <w:rFonts w:ascii="宋体" w:hAnsi="宋体" w:eastAsia="宋体" w:cs="宋体"/>
          <w:kern w:val="0"/>
          <w:sz w:val="24"/>
          <w:szCs w:val="24"/>
          <w:lang w:val="en-US" w:eastAsia="zh-CN" w:bidi="ar"/>
        </w:rPr>
        <w:t>国家政策定方向，《“十四五”医药工业发展规划》将医疗防护用品自动化升级列为重点，明确支持高速、高精度口罩生产设备研发与推广，划定技术创新核心路径。规划中特别提出，要推动医疗防护装备生产实现“减人增效、提质降耗”，鼓励企业加大自动化、智能化技术投入，突破核心技术瓶颈，提升产业整体竞争力，为本项目研发提供了明确的政策指引。</w:t>
      </w:r>
    </w:p>
    <w:p w14:paraId="1E223A26">
      <w:pPr>
        <w:keepNext w:val="0"/>
        <w:keepLines w:val="0"/>
        <w:widowControl/>
        <w:suppressLineNumbers w:val="0"/>
        <w:jc w:val="left"/>
      </w:pPr>
      <w:r>
        <w:rPr>
          <w:rFonts w:ascii="宋体" w:hAnsi="宋体" w:eastAsia="宋体" w:cs="宋体"/>
          <w:kern w:val="0"/>
          <w:sz w:val="24"/>
          <w:szCs w:val="24"/>
          <w:lang w:val="en-US" w:eastAsia="zh-CN" w:bidi="ar"/>
        </w:rPr>
        <w:t>监管要求强适配，《医疗器械监督管理条例》强调设备需具备稳定质量控制能力，保障产品一致性，这与本研究PLC全自动智造系统的精准控制特性高度契合，奠定合规基础。条例明确规定，医疗防护用品生产设备需通过严格的性能检测，确保产品质量符合国家标准，禁止不合格设备投入生产，而本系统的高精度控制的优势，可直接满足监管要求，降低企业合规风险。</w:t>
      </w:r>
    </w:p>
    <w:p w14:paraId="4A7E276B">
      <w:pPr>
        <w:keepNext w:val="0"/>
        <w:keepLines w:val="0"/>
        <w:widowControl/>
        <w:suppressLineNumbers w:val="0"/>
        <w:jc w:val="left"/>
      </w:pPr>
      <w:r>
        <w:rPr>
          <w:rFonts w:ascii="宋体" w:hAnsi="宋体" w:eastAsia="宋体" w:cs="宋体"/>
          <w:kern w:val="0"/>
          <w:sz w:val="24"/>
          <w:szCs w:val="24"/>
          <w:lang w:val="en-US" w:eastAsia="zh-CN" w:bidi="ar"/>
        </w:rPr>
        <w:t>地方政策给红利，江苏、广东、浙江等产业集聚省份出台专项激励，江苏省给予最高25%财政补贴，广东省将设备纳入研发费用加计扣除，浙江省提供三年税收减免。这些省份作为国内医疗防护产业的核心集聚区，口罩生产企业数量占全国60%以上，专项政策的出台，精准对接企业自动化转型需求，激发企业采购、应用自动化设备的积极性。</w:t>
      </w:r>
    </w:p>
    <w:p w14:paraId="133C3A9B">
      <w:pPr>
        <w:keepNext w:val="0"/>
        <w:keepLines w:val="0"/>
        <w:widowControl/>
        <w:suppressLineNumbers w:val="0"/>
        <w:jc w:val="left"/>
      </w:pPr>
      <w:r>
        <w:rPr>
          <w:rFonts w:ascii="宋体" w:hAnsi="宋体" w:eastAsia="宋体" w:cs="宋体"/>
          <w:kern w:val="0"/>
          <w:sz w:val="24"/>
          <w:szCs w:val="24"/>
          <w:lang w:val="en-US" w:eastAsia="zh-CN" w:bidi="ar"/>
        </w:rPr>
        <w:t>政策红利显实效，某口罩企业采购100万元自动化设备，叠加地方补贴与税收优惠，实际投入降低32万元，既缓解企业资金压力，也为设备推广拓宽空间。该企业原本因资金紧张，计划逐步推进自动化转型，政策补贴大幅降低了初期投入，使其提前完成设备升级，产能与合格率显著提升，仅用6个月就收回了设备新增投入成本，充分体现了政策对项目落地的支撑作用。</w:t>
      </w:r>
    </w:p>
    <w:p w14:paraId="30C5F6C3">
      <w:pPr>
        <w:pStyle w:val="4"/>
        <w:numPr>
          <w:ilvl w:val="0"/>
          <w:numId w:val="6"/>
        </w:numPr>
        <w:bidi w:val="0"/>
        <w:ind w:left="0" w:leftChars="0" w:firstLine="0" w:firstLineChars="0"/>
        <w:rPr>
          <w:rFonts w:hint="default"/>
          <w:lang w:val="en-US" w:eastAsia="zh-CN"/>
        </w:rPr>
      </w:pPr>
      <w:r>
        <w:rPr>
          <w:rFonts w:hint="default"/>
          <w:lang w:val="en-US" w:eastAsia="zh-CN"/>
        </w:rPr>
        <w:t>行业发展趋势</w:t>
      </w:r>
    </w:p>
    <w:p w14:paraId="7DC6307A">
      <w:pPr>
        <w:keepNext w:val="0"/>
        <w:keepLines w:val="0"/>
        <w:widowControl/>
        <w:suppressLineNumbers w:val="0"/>
        <w:jc w:val="left"/>
      </w:pPr>
      <w:bookmarkStart w:id="8" w:name="_Toc3696"/>
      <w:r>
        <w:rPr>
          <w:rFonts w:ascii="宋体" w:hAnsi="宋体" w:eastAsia="宋体" w:cs="宋体"/>
          <w:kern w:val="0"/>
          <w:sz w:val="24"/>
          <w:szCs w:val="24"/>
          <w:lang w:val="en-US" w:eastAsia="zh-CN" w:bidi="ar"/>
        </w:rPr>
        <w:t>市场规模高速增长，全球N95口罩生产设备年增长率超25%，《中国医疗器械蓝皮书》预测，2028年国内市场规模将突破300亿元。增长动力主要来自两方面，一是全球公共卫生防控常态化，各国对医疗防护装备的产能储备需求持续增加；二是国内口罩企业自动化转型加速，传统设备替换需求旺盛，为PLC全自动智造系统提供了广阔的市场空间。</w:t>
      </w:r>
    </w:p>
    <w:p w14:paraId="1AE6CF81">
      <w:pPr>
        <w:keepNext w:val="0"/>
        <w:keepLines w:val="0"/>
        <w:widowControl/>
        <w:suppressLineNumbers w:val="0"/>
        <w:jc w:val="left"/>
      </w:pPr>
      <w:r>
        <w:rPr>
          <w:rFonts w:ascii="宋体" w:hAnsi="宋体" w:eastAsia="宋体" w:cs="宋体"/>
          <w:kern w:val="0"/>
          <w:sz w:val="24"/>
          <w:szCs w:val="24"/>
          <w:lang w:val="en-US" w:eastAsia="zh-CN" w:bidi="ar"/>
        </w:rPr>
        <w:t>PLC多轴协同设备成主流，其增速较行业平均高15个百分点，逐步取代传统设备，核心原因是适配高效生产需求，契合行业转型方向。相较于传统单一PLC控制设备，PLC多轴协同设备可实现多工序同步联动，大幅提升生产效率与精度，且兼容性更强，便于后期升级维护，已成为大型防护用品企业的首选设备，市场占有率逐年提升。</w:t>
      </w:r>
    </w:p>
    <w:p w14:paraId="31EAA3C6">
      <w:pPr>
        <w:keepNext w:val="0"/>
        <w:keepLines w:val="0"/>
        <w:widowControl/>
        <w:suppressLineNumbers w:val="0"/>
        <w:jc w:val="left"/>
      </w:pPr>
      <w:r>
        <w:rPr>
          <w:rFonts w:ascii="宋体" w:hAnsi="宋体" w:eastAsia="宋体" w:cs="宋体"/>
          <w:kern w:val="0"/>
          <w:sz w:val="24"/>
          <w:szCs w:val="24"/>
          <w:lang w:val="en-US" w:eastAsia="zh-CN" w:bidi="ar"/>
        </w:rPr>
        <w:t>“三高”成核心导向，高速化、精准化、模块化成为企业采购关键，某大型企业招标数据显示，生产速度≥120片/分钟、焊接精度≤2mm、换型≤30分钟的设备，中标概率较传统设备高4倍。该企业作为国内防护用品龙头企业，每年采购数十套口罩生产设备，其招标导向直接反映了行业需求趋势，也印证了本项目系统设计的合理性与前瞻性。</w:t>
      </w:r>
    </w:p>
    <w:p w14:paraId="63D77826">
      <w:pPr>
        <w:keepNext w:val="0"/>
        <w:keepLines w:val="0"/>
        <w:widowControl/>
        <w:suppressLineNumbers w:val="0"/>
        <w:jc w:val="left"/>
      </w:pPr>
      <w:r>
        <w:rPr>
          <w:rFonts w:ascii="宋体" w:hAnsi="宋体" w:eastAsia="宋体" w:cs="宋体"/>
          <w:kern w:val="0"/>
          <w:sz w:val="24"/>
          <w:szCs w:val="24"/>
          <w:lang w:val="en-US" w:eastAsia="zh-CN" w:bidi="ar"/>
        </w:rPr>
        <w:t>总线技术替代传统脉冲，传统脉冲控制延迟超15ms，已无法满足高速需求，而EtherCAT总线传输延迟≤1ms，某产线实测可将耳带焊接偏差控制在1.8mm内，成为企业首选。EtherCAT总线具有传输速度快、稳定性高、兼容性强等优势，可实现多伺服轴的精准同步控制，解决了传统脉冲控制的通讯延迟痛点，已逐步成为自动化口罩生产设备的核心通讯技术。</w:t>
      </w:r>
    </w:p>
    <w:p w14:paraId="7DEEA440">
      <w:pPr>
        <w:keepNext w:val="0"/>
        <w:keepLines w:val="0"/>
        <w:widowControl/>
        <w:suppressLineNumbers w:val="0"/>
        <w:jc w:val="left"/>
      </w:pPr>
      <w:r>
        <w:rPr>
          <w:rFonts w:ascii="宋体" w:hAnsi="宋体" w:eastAsia="宋体" w:cs="宋体"/>
          <w:kern w:val="0"/>
          <w:sz w:val="24"/>
          <w:szCs w:val="24"/>
          <w:lang w:val="en-US" w:eastAsia="zh-CN" w:bidi="ar"/>
        </w:rPr>
        <w:t>模块化与节能成优势，可适配3-6层口罩的模块化设备，市场接受度较传统设备高3倍；低能耗设备需求年均增长8%，本系统单位产品能耗较传统设备低32%，单台年省电费超1.5万元，完全契合趋势。当前，绿色生产理念深入人心，企业不仅关注设备的效率与精度，也注重能耗控制，本系统的低能耗设计，可帮助企业进一步降低运营成本，提升市场竞争力。</w:t>
      </w:r>
    </w:p>
    <w:p w14:paraId="1E66A0F8">
      <w:pPr>
        <w:pStyle w:val="3"/>
        <w:numPr>
          <w:ilvl w:val="0"/>
          <w:numId w:val="4"/>
        </w:numPr>
        <w:bidi w:val="0"/>
        <w:ind w:left="0" w:leftChars="0" w:firstLine="0" w:firstLineChars="0"/>
        <w:rPr>
          <w:rFonts w:hint="default"/>
          <w:lang w:val="en-US" w:eastAsia="zh-CN"/>
        </w:rPr>
      </w:pPr>
      <w:bookmarkStart w:id="9" w:name="_Toc14448"/>
      <w:r>
        <w:rPr>
          <w:rFonts w:hint="default"/>
          <w:lang w:val="en-US" w:eastAsia="zh-CN"/>
        </w:rPr>
        <w:t>项目核心使命与生态文明价值</w:t>
      </w:r>
      <w:bookmarkEnd w:id="8"/>
      <w:bookmarkEnd w:id="9"/>
    </w:p>
    <w:p w14:paraId="0905D3FB">
      <w:pPr>
        <w:pStyle w:val="4"/>
        <w:numPr>
          <w:ilvl w:val="0"/>
          <w:numId w:val="7"/>
        </w:numPr>
        <w:bidi w:val="0"/>
        <w:ind w:left="0" w:leftChars="0" w:firstLine="0" w:firstLineChars="0"/>
        <w:rPr>
          <w:rFonts w:hint="eastAsia"/>
          <w:lang w:val="en-US" w:eastAsia="zh-CN"/>
        </w:rPr>
      </w:pPr>
      <w:r>
        <w:rPr>
          <w:rFonts w:hint="eastAsia"/>
          <w:lang w:val="en-US" w:eastAsia="zh-CN"/>
        </w:rPr>
        <w:t>核心使命</w:t>
      </w:r>
    </w:p>
    <w:p w14:paraId="7C527FC1">
      <w:pPr>
        <w:keepNext w:val="0"/>
        <w:keepLines w:val="0"/>
        <w:widowControl/>
        <w:suppressLineNumbers w:val="0"/>
        <w:jc w:val="left"/>
      </w:pPr>
      <w:r>
        <w:rPr>
          <w:rFonts w:ascii="宋体" w:hAnsi="宋体" w:eastAsia="宋体" w:cs="宋体"/>
          <w:kern w:val="0"/>
          <w:sz w:val="24"/>
          <w:szCs w:val="24"/>
          <w:lang w:val="en-US" w:eastAsia="zh-CN" w:bidi="ar"/>
        </w:rPr>
        <w:t>立足行业核心痛点，紧扣市场迫切需求，本项目确立“PLC赋能+高速精准”双核心研发导向，聚焦N95口罩生产全流程，研发全流程无人化、高精度协同、多规格适配的智能智造系统。项目研发团队由PLC控制、机械设计、软件研发等领域的专业人才组成，结合多年工业自动化设备研发经验，针对性破解传统口罩生产设备的技术瓶颈，助力行业转型升级。</w:t>
      </w:r>
    </w:p>
    <w:p w14:paraId="2F06B0DA">
      <w:pPr>
        <w:keepNext w:val="0"/>
        <w:keepLines w:val="0"/>
        <w:widowControl/>
        <w:suppressLineNumbers w:val="0"/>
        <w:jc w:val="left"/>
      </w:pPr>
      <w:r>
        <w:rPr>
          <w:rFonts w:ascii="宋体" w:hAnsi="宋体" w:eastAsia="宋体" w:cs="宋体"/>
          <w:kern w:val="0"/>
          <w:sz w:val="24"/>
          <w:szCs w:val="24"/>
          <w:lang w:val="en-US" w:eastAsia="zh-CN" w:bidi="ar"/>
        </w:rPr>
        <w:t>破解技术瓶颈为核心，系统以PLC多轴协同控制为核心，融合EtherCAT总线伺服与凸轮点位动态计算算法，通过33个总线伺服同步联动，将生产速度提升至180片/分钟。相较于传统设备，该系统的多轴协同控制技术可实现拉布、封边、焊耳、裁切等工序的精准同步，消除动作时序偏差，既提升生产速度，又保障产品质量，彻底解决“效率与精度不可兼得”的难题。</w:t>
      </w:r>
    </w:p>
    <w:p w14:paraId="43904120">
      <w:pPr>
        <w:keepNext w:val="0"/>
        <w:keepLines w:val="0"/>
        <w:widowControl/>
        <w:suppressLineNumbers w:val="0"/>
        <w:jc w:val="left"/>
      </w:pPr>
      <w:r>
        <w:rPr>
          <w:rFonts w:ascii="宋体" w:hAnsi="宋体" w:eastAsia="宋体" w:cs="宋体"/>
          <w:kern w:val="0"/>
          <w:sz w:val="24"/>
          <w:szCs w:val="24"/>
          <w:lang w:val="en-US" w:eastAsia="zh-CN" w:bidi="ar"/>
        </w:rPr>
        <w:t>试点应用成效显著，某试点企业实测，单套系统日均产能28800片，较传统产线效率提升3倍；耳带焊接偏差控制在2mm内，鼻梁条偏移≤0.5mm，合格率稳定超99%，符合医疗级标准。该试点企业为中型口罩生产企业，应用本系统后，彻底摆脱了对人工的依赖，旺季时无需额外招聘临时工，即可完成批量订单，且产品合格率大幅提升，客户投诉率降至0.1%以下。</w:t>
      </w:r>
    </w:p>
    <w:p w14:paraId="2BEF88F7">
      <w:pPr>
        <w:keepNext w:val="0"/>
        <w:keepLines w:val="0"/>
        <w:widowControl/>
        <w:suppressLineNumbers w:val="0"/>
        <w:jc w:val="left"/>
      </w:pPr>
      <w:r>
        <w:rPr>
          <w:rFonts w:ascii="宋体" w:hAnsi="宋体" w:eastAsia="宋体" w:cs="宋体"/>
          <w:kern w:val="0"/>
          <w:sz w:val="24"/>
          <w:szCs w:val="24"/>
          <w:lang w:val="en-US" w:eastAsia="zh-CN" w:bidi="ar"/>
        </w:rPr>
        <w:t>助力企业降本增效，全流程自动化可替代8-12名一线工人，某中小口罩厂应用后，人力成本占比从43%降至18%，年省人力成本超60万元；一键换型仅需30分钟，适配多批次订单。该中小厂原本面临人力短缺、成本高企的困境，应用本系统后，不仅解决了人力问题，还降低了运营成本，盈利能力显著提升，可承接更多细分市场订单，市场竞争力大幅增强。</w:t>
      </w:r>
    </w:p>
    <w:p w14:paraId="103823F5">
      <w:pPr>
        <w:keepNext w:val="0"/>
        <w:keepLines w:val="0"/>
        <w:widowControl/>
        <w:suppressLineNumbers w:val="0"/>
        <w:jc w:val="left"/>
      </w:pPr>
      <w:r>
        <w:rPr>
          <w:rFonts w:ascii="宋体" w:hAnsi="宋体" w:eastAsia="宋体" w:cs="宋体"/>
          <w:kern w:val="0"/>
          <w:sz w:val="24"/>
          <w:szCs w:val="24"/>
          <w:lang w:val="en-US" w:eastAsia="zh-CN" w:bidi="ar"/>
        </w:rPr>
        <w:t>兼顾中小企业需求，模块化设计可灵活增减配置，软件支持参数化升级，国产化供应链控制成本，单套售价仅为进口设备的1/3-1/2，打通中小企业自动化转型路径，推动行业从半自动化向全自动化跨越。项目选用信捷、汇川等国产核心零部件，既降低了设备采购成本，又保障了零部件供应的稳定性，同时提供免费技术培训与售后支持，解决中小企业技术运维能力不足的痛点。</w:t>
      </w:r>
    </w:p>
    <w:p w14:paraId="5BA371E4">
      <w:pPr>
        <w:pStyle w:val="4"/>
        <w:numPr>
          <w:ilvl w:val="0"/>
          <w:numId w:val="7"/>
        </w:numPr>
        <w:bidi w:val="0"/>
        <w:ind w:left="0" w:leftChars="0" w:firstLine="0" w:firstLineChars="0"/>
        <w:rPr>
          <w:rFonts w:hint="default"/>
          <w:lang w:val="en-US" w:eastAsia="zh-CN"/>
        </w:rPr>
      </w:pPr>
      <w:r>
        <w:rPr>
          <w:rFonts w:hint="eastAsia"/>
          <w:lang w:val="en-US" w:eastAsia="zh-CN"/>
        </w:rPr>
        <w:t>核心</w:t>
      </w:r>
      <w:r>
        <w:rPr>
          <w:rFonts w:hint="default"/>
          <w:lang w:val="en-US" w:eastAsia="zh-CN"/>
        </w:rPr>
        <w:t>价值</w:t>
      </w:r>
    </w:p>
    <w:p w14:paraId="2DC9473D">
      <w:pPr>
        <w:keepNext w:val="0"/>
        <w:keepLines w:val="0"/>
        <w:widowControl/>
        <w:suppressLineNumbers w:val="0"/>
        <w:jc w:val="left"/>
      </w:pPr>
      <w:bookmarkStart w:id="10" w:name="_Toc22358"/>
      <w:r>
        <w:rPr>
          <w:rFonts w:ascii="宋体" w:hAnsi="宋体" w:eastAsia="宋体" w:cs="宋体"/>
          <w:kern w:val="0"/>
          <w:sz w:val="24"/>
          <w:szCs w:val="24"/>
          <w:lang w:val="en-US" w:eastAsia="zh-CN" w:bidi="ar"/>
        </w:rPr>
        <w:t>大幅降低人力成本，单套系统日均产能20000-28800片，相当于8-12名工人总产量，按人均年薪6-8万元测算，年省人力成本48-96万元，某中小厂年节约达72万元，缓解资金压力。该中小厂原本有10名一线操作工人，年均人力成本70万元，应用本系统后，仅保留2名技术运维人员，人力成本降至18万元，每年节省的人力成本可投入到产品研发与市场拓展中，形成良性循环。</w:t>
      </w:r>
    </w:p>
    <w:p w14:paraId="43D4226F">
      <w:pPr>
        <w:keepNext w:val="0"/>
        <w:keepLines w:val="0"/>
        <w:widowControl/>
        <w:suppressLineNumbers w:val="0"/>
        <w:jc w:val="left"/>
      </w:pPr>
      <w:r>
        <w:rPr>
          <w:rFonts w:ascii="宋体" w:hAnsi="宋体" w:eastAsia="宋体" w:cs="宋体"/>
          <w:kern w:val="0"/>
          <w:sz w:val="24"/>
          <w:szCs w:val="24"/>
          <w:lang w:val="en-US" w:eastAsia="zh-CN" w:bidi="ar"/>
        </w:rPr>
        <w:t>精准控耗减少浪费，传统产线合格率85%、原材料损耗率18%，本系统合格率超99%，损耗率降低15%-20%，按日均消耗500kg原材料、单价20元/kg计算，年省原材料成本超5.4万元。无纺布、熔喷布作为口罩生产的核心原材料，价格波动较大，降低原材料损耗，不仅能减少成本支出，还能提升企业应对原材料价格波动的能力，增强盈利稳定性。</w:t>
      </w:r>
    </w:p>
    <w:p w14:paraId="7FA78FAB">
      <w:pPr>
        <w:keepNext w:val="0"/>
        <w:keepLines w:val="0"/>
        <w:widowControl/>
        <w:suppressLineNumbers w:val="0"/>
        <w:jc w:val="left"/>
      </w:pPr>
      <w:r>
        <w:rPr>
          <w:rFonts w:ascii="宋体" w:hAnsi="宋体" w:eastAsia="宋体" w:cs="宋体"/>
          <w:kern w:val="0"/>
          <w:sz w:val="24"/>
          <w:szCs w:val="24"/>
          <w:lang w:val="en-US" w:eastAsia="zh-CN" w:bidi="ar"/>
        </w:rPr>
        <w:t>提升市场响应能力，定标/定长双模式+无级调速，换型时间较传统设备缩短75%，30分钟即可完成传统2小时以上的换型工作，助力企业快速适配多规格订单，抢占先机。某口罩企业应用本系统后，可快速切换3-6层不同规格口罩生产，针对儿童专用N95口罩的突发订单，仅用30分钟完成换型，按时交付订单，赢得了客户的高度认可，进一步拓展了细分市场。</w:t>
      </w:r>
    </w:p>
    <w:p w14:paraId="6C1F98BD">
      <w:pPr>
        <w:keepNext w:val="0"/>
        <w:keepLines w:val="0"/>
        <w:widowControl/>
        <w:suppressLineNumbers w:val="0"/>
        <w:jc w:val="left"/>
      </w:pPr>
      <w:r>
        <w:rPr>
          <w:rFonts w:ascii="宋体" w:hAnsi="宋体" w:eastAsia="宋体" w:cs="宋体"/>
          <w:kern w:val="0"/>
          <w:sz w:val="24"/>
          <w:szCs w:val="24"/>
          <w:lang w:val="en-US" w:eastAsia="zh-CN" w:bidi="ar"/>
        </w:rPr>
        <w:t>保障生产连续性，系统配备故障预警与远程运维，提前24小时推送维护提醒，平均无故障运行时间≥800小时，故障维修时间缩短至30分钟内，确保订单按时交付。传统设备因故障停机频繁，某企业单月因故障停机导致的订单延误达3次，应用本系统后，全年故障停机次数不超过5次，订单交付率提升至99.8%，有效维护了企业的市场口碑。</w:t>
      </w:r>
    </w:p>
    <w:p w14:paraId="1B739B5A">
      <w:pPr>
        <w:keepNext w:val="0"/>
        <w:keepLines w:val="0"/>
        <w:widowControl/>
        <w:suppressLineNumbers w:val="0"/>
        <w:jc w:val="left"/>
      </w:pPr>
      <w:r>
        <w:rPr>
          <w:rFonts w:ascii="宋体" w:hAnsi="宋体" w:eastAsia="宋体" w:cs="宋体"/>
          <w:kern w:val="0"/>
          <w:sz w:val="24"/>
          <w:szCs w:val="24"/>
          <w:lang w:val="en-US" w:eastAsia="zh-CN" w:bidi="ar"/>
        </w:rPr>
        <w:t>适配数字化转型，模块化设计与标准化接口可无缝对接MES系统，核心生产数据实时上传生成可视化报表，支撑精细化管理；高性价比优势降低中小企业转型门槛，推动整个医疗防护产业向数字化、智能化迈进，彰显行业与社会价值。当前，制造业数字化转型加速，本系统的数字化设计，可帮助企业实现生产数据的精准管控，优化生产流程，同时带动更多中小企业完成自动化、数字化转型，提升整个医疗防护产业的核心竞争力。</w:t>
      </w:r>
    </w:p>
    <w:p w14:paraId="6360630B">
      <w:pPr>
        <w:pStyle w:val="2"/>
        <w:bidi w:val="0"/>
        <w:rPr>
          <w:rFonts w:hint="default"/>
        </w:rPr>
      </w:pPr>
      <w:bookmarkStart w:id="11" w:name="_Toc9046"/>
      <w:r>
        <w:rPr>
          <w:rFonts w:hint="default"/>
        </w:rPr>
        <w:t>市场分析</w:t>
      </w:r>
      <w:r>
        <w:rPr>
          <w:rFonts w:hint="eastAsia"/>
          <w:lang w:val="en-US" w:eastAsia="zh-CN"/>
        </w:rPr>
        <w:t>与成本核算</w:t>
      </w:r>
      <w:bookmarkEnd w:id="10"/>
      <w:bookmarkEnd w:id="11"/>
    </w:p>
    <w:p w14:paraId="463EB0E7">
      <w:pPr>
        <w:pStyle w:val="3"/>
        <w:numPr>
          <w:ilvl w:val="0"/>
          <w:numId w:val="8"/>
        </w:numPr>
        <w:bidi w:val="0"/>
        <w:ind w:left="0" w:leftChars="0" w:firstLine="0" w:firstLineChars="0"/>
        <w:rPr>
          <w:rFonts w:hint="default"/>
          <w:lang w:val="en-US" w:eastAsia="zh-CN"/>
        </w:rPr>
      </w:pPr>
      <w:bookmarkStart w:id="12" w:name="_Toc6378"/>
      <w:bookmarkStart w:id="13" w:name="_Toc21589"/>
      <w:r>
        <w:rPr>
          <w:rFonts w:hint="default"/>
          <w:lang w:val="en-US" w:eastAsia="zh-CN"/>
        </w:rPr>
        <w:t>市场规模与增长潜力</w:t>
      </w:r>
      <w:bookmarkEnd w:id="12"/>
      <w:bookmarkEnd w:id="13"/>
    </w:p>
    <w:p w14:paraId="43EC9DBB">
      <w:pPr>
        <w:pStyle w:val="4"/>
        <w:numPr>
          <w:ilvl w:val="0"/>
          <w:numId w:val="9"/>
        </w:numPr>
        <w:bidi w:val="0"/>
        <w:ind w:left="0" w:leftChars="0" w:firstLine="0" w:firstLineChars="0"/>
        <w:rPr>
          <w:rFonts w:hint="eastAsia"/>
          <w:lang w:val="en-US" w:eastAsia="zh-CN"/>
        </w:rPr>
      </w:pPr>
      <w:r>
        <w:rPr>
          <w:rFonts w:hint="eastAsia"/>
          <w:lang w:val="en-US" w:eastAsia="zh-CN"/>
        </w:rPr>
        <w:t>核心需求市场规模</w:t>
      </w:r>
    </w:p>
    <w:p w14:paraId="71A44E8E">
      <w:pPr>
        <w:keepNext w:val="0"/>
        <w:keepLines w:val="0"/>
        <w:widowControl/>
        <w:suppressLineNumbers w:val="0"/>
        <w:jc w:val="left"/>
      </w:pPr>
      <w:r>
        <w:rPr>
          <w:rFonts w:ascii="宋体" w:hAnsi="宋体" w:eastAsia="宋体" w:cs="宋体"/>
          <w:kern w:val="0"/>
          <w:sz w:val="24"/>
          <w:szCs w:val="24"/>
          <w:lang w:val="en-US" w:eastAsia="zh-CN" w:bidi="ar"/>
        </w:rPr>
        <w:t>国内医疗防护用品行业发展态势稳健，市场规模已成功突破1000亿元，庞大的市场体量为细分领域发展奠定了坚实基础。其中N95口罩作为医疗、工业、公共卫生等领域的核心防护装备，凭借其高效的过滤性能，年需求量稳定维持在500亿片以上，即便在后疫情时代，常态化防控与应急储备需求仍支撑着其需求总量居高不下，某行业调研数据显示，仅医疗机构年均采购N95口罩就达120亿片，成为核心需求来源之一。除医疗机构外，矿山、化工、建筑等工业领域的职业防护需求同样旺盛，年均采购量达80亿片，公共卫生应急储备年均需求超50亿片，多领域需求叠加，构建了稳定的市场需求底座。</w:t>
      </w:r>
    </w:p>
    <w:p w14:paraId="2668D93B">
      <w:pPr>
        <w:keepNext w:val="0"/>
        <w:keepLines w:val="0"/>
        <w:widowControl/>
        <w:suppressLineNumbers w:val="0"/>
        <w:jc w:val="left"/>
      </w:pPr>
      <w:r>
        <w:rPr>
          <w:rFonts w:ascii="宋体" w:hAnsi="宋体" w:eastAsia="宋体" w:cs="宋体"/>
          <w:kern w:val="0"/>
          <w:sz w:val="24"/>
          <w:szCs w:val="24"/>
          <w:lang w:val="en-US" w:eastAsia="zh-CN" w:bidi="ar"/>
        </w:rPr>
        <w:t>当前国内N95口罩生产企业数量已超3000家，市场竞争呈现“规模化企业引领、中小企业主导”的格局，其中中小规模企业占比高达70%。这类中小企业受资金、技术实力限制，普遍采用半自动化生产线，生产效率低、人力成本高、产品精度不足的问题突出，难以适配市场对产能与质量的双重要求，由此形成了巨大的自动化设备替代缺口，经测算该缺口已超5万台，成为推动自动化设备市场增长的核心动力。这些中小企业多分布在产业集聚区域，单厂设备需求1-3套，且多倾向于高性价比设备，恰好与本项目产品定位高度匹配，构成了核心需求群体。</w:t>
      </w:r>
    </w:p>
    <w:p w14:paraId="0B6C7F75">
      <w:pPr>
        <w:keepNext w:val="0"/>
        <w:keepLines w:val="0"/>
        <w:widowControl/>
        <w:suppressLineNumbers w:val="0"/>
        <w:jc w:val="left"/>
      </w:pPr>
      <w:r>
        <w:rPr>
          <w:rFonts w:ascii="宋体" w:hAnsi="宋体" w:eastAsia="宋体" w:cs="宋体"/>
          <w:kern w:val="0"/>
          <w:sz w:val="24"/>
          <w:szCs w:val="24"/>
          <w:lang w:val="en-US" w:eastAsia="zh-CN" w:bidi="ar"/>
        </w:rPr>
        <w:t>疫情防控常态化推进与公共卫生应急体系不断完善，进一步释放了设备市场需求。各级政府加大医疗防护物资战略储备力度，医疗机构持续补充防护装备库存，这类刚性需求直接带动N95口罩产能扩张，进而推动企业对自动化生产设备的采购需求，有效扩大了高精度、高速自动化生产设备的市场空间，为项目落地提供了广阔的市场场景。例如某省疾控中心2024年新增N95口罩储备量2亿片，直接带动当地3家口罩企业新增自动化生产线采购需求，其中2家企业选择了适配中小规模生产的高性价比设备。</w:t>
      </w:r>
    </w:p>
    <w:p w14:paraId="42799DC7">
      <w:pPr>
        <w:keepNext w:val="0"/>
        <w:keepLines w:val="0"/>
        <w:widowControl/>
        <w:suppressLineNumbers w:val="0"/>
        <w:jc w:val="left"/>
      </w:pPr>
      <w:r>
        <w:rPr>
          <w:rFonts w:ascii="宋体" w:hAnsi="宋体" w:eastAsia="宋体" w:cs="宋体"/>
          <w:kern w:val="0"/>
          <w:sz w:val="24"/>
          <w:szCs w:val="24"/>
          <w:lang w:val="en-US" w:eastAsia="zh-CN" w:bidi="ar"/>
        </w:rPr>
        <w:t>据中国医疗器械行业协会权威数据显示，自动化口罩生产设备市场年增速达28%，远超医疗防护用品行业整体增速，其中高速、高精度设备因契合行业转型需求，需求增速更是突破40%，成为市场增长的核心引擎。值得关注的是，中小口罩生产企业是自动化设备的核心需求群体，这类企业的设备采购预算集中在50-200万元，而本项目基于PLC的全自动智造系统，定价精准覆盖该预算区间，既满足中小企业对高性价比的需求，又能提供高速、高精度的生产能力，与市场需求高度契合，市场适配性极强。经调研，75%的中小口罩企业表示，若设备定价在50-150万元且性能达标，将优先考虑采购，进一步印证了本项目的市场适配性。</w:t>
      </w:r>
    </w:p>
    <w:p w14:paraId="08FD738E">
      <w:pPr>
        <w:keepNext w:val="0"/>
        <w:keepLines w:val="0"/>
        <w:widowControl/>
        <w:suppressLineNumbers w:val="0"/>
        <w:jc w:val="left"/>
      </w:pPr>
      <w:r>
        <w:rPr>
          <w:rFonts w:ascii="宋体" w:hAnsi="宋体" w:eastAsia="宋体" w:cs="宋体"/>
          <w:kern w:val="0"/>
          <w:sz w:val="24"/>
          <w:szCs w:val="24"/>
          <w:lang w:val="en-US" w:eastAsia="zh-CN" w:bidi="ar"/>
        </w:rPr>
        <w:t>从需求结构来看，中小企业的自动化转型需求更为迫切，这类企业往往面临“人工成本攀升、订单响应滞后”的困境，对无需高额投入、操作便捷、可快速回本的自动化设备需求旺盛，本系统的定价策略与产品特性恰好破解了其核心痛点，进一步提升了项目的市场竞争力与推广可行性，也为项目后续市场拓展指明了清晰方向。测算显示，中小口罩企业引入本系统后，平均6-8个月即可收回设备投入成本，快速回本的优势进一步激发了其采购意愿，成为项目市场拓展的核心优势之一。</w:t>
      </w:r>
    </w:p>
    <w:p w14:paraId="6DD0D357">
      <w:pPr>
        <w:pStyle w:val="4"/>
        <w:numPr>
          <w:ilvl w:val="0"/>
          <w:numId w:val="9"/>
        </w:numPr>
        <w:bidi w:val="0"/>
        <w:ind w:left="0" w:leftChars="0" w:firstLine="0" w:firstLineChars="0"/>
        <w:rPr>
          <w:rFonts w:hint="default"/>
          <w:lang w:val="en-US" w:eastAsia="zh-CN"/>
        </w:rPr>
      </w:pPr>
      <w:r>
        <w:rPr>
          <w:rFonts w:hint="default"/>
          <w:lang w:val="en-US" w:eastAsia="zh-CN"/>
        </w:rPr>
        <w:t>细分市场潜力</w:t>
      </w:r>
    </w:p>
    <w:p w14:paraId="1742A02D">
      <w:pPr>
        <w:keepNext w:val="0"/>
        <w:keepLines w:val="0"/>
        <w:widowControl/>
        <w:suppressLineNumbers w:val="0"/>
        <w:jc w:val="left"/>
      </w:pPr>
      <w:r>
        <w:rPr>
          <w:rFonts w:ascii="宋体" w:hAnsi="宋体" w:eastAsia="宋体" w:cs="宋体"/>
          <w:kern w:val="0"/>
          <w:sz w:val="24"/>
          <w:szCs w:val="24"/>
          <w:lang w:val="en-US" w:eastAsia="zh-CN" w:bidi="ar"/>
        </w:rPr>
        <w:t>基于PLC的N95口罩全自动高速智造系统，作为口罩生产设备领域的高端细分品类，其核心优势聚焦于高速生产、精准控制与灵活适配三大维度，与当前行业向“高速化、自动化、模块化”转型的核心趋势高度契合，无需额外适配调整，即可快速融入现有产业升级体系。结合中国医疗器械行业协会的预测数据，该高端细分品类未来5年市场复合增长率将稳定维持在35%以上，按照这一增长态势测算，预计到2028年，其市场规模将成功突破120亿元，成为口罩生产设备市场增长的核心支撑力量。这一增长速度远超行业平均水平，核心得益于其精准匹配了企业降本增效与质量提升的双重诉求。</w:t>
      </w:r>
    </w:p>
    <w:p w14:paraId="1493A919">
      <w:pPr>
        <w:keepNext w:val="0"/>
        <w:keepLines w:val="0"/>
        <w:widowControl/>
        <w:suppressLineNumbers w:val="0"/>
        <w:jc w:val="left"/>
      </w:pPr>
      <w:r>
        <w:rPr>
          <w:rFonts w:ascii="宋体" w:hAnsi="宋体" w:eastAsia="宋体" w:cs="宋体"/>
          <w:kern w:val="0"/>
          <w:sz w:val="24"/>
          <w:szCs w:val="24"/>
          <w:lang w:val="en-US" w:eastAsia="zh-CN" w:bidi="ar"/>
        </w:rPr>
        <w:t>该细分品类的持续增长，核心动力主要源于政策与市场两大层面，二者协同发力，共同推动市场需求持续释放。政策层面，各地政府聚焦医疗防护产业高质量升级，纷纷出台专项激励政策，对企业采购自动化、高精度口罩生产设备给予15%-25%的财政补贴，部分地区还叠加研发费用加计扣除、税收减免等优惠，某口罩企业采购本系统时，通过地方补贴直接降低采购成本20%，有效激发了企业的采购意愿。此外，国家层面持续推进医疗防护装备国产化替代，对采用国产核心部件的自动化设备给予重点扶持，为本项目提供了额外的政策红利。</w:t>
      </w:r>
    </w:p>
    <w:p w14:paraId="6705AEC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市场层面，企业降本增效的刚性需求成为关键推手。近年来，制造业人工成本逐年上涨，一线操作工人年均薪资涨幅达8%-10%，同时医疗防护领域对口罩质量的标准持续提升，传统半自动化设备已难以兼顾成本控制与质量达标，迫使企业加快淘汰传统设备，转向高效、精准的高端自动化设备。目前，头部口罩生产企业已率先布局，开始批量采购高速自动化生产线，用于扩大产能、提升产品竞争力；而占市场主体的中小企业，受人工成本压力与订单质量要求倒逼，自动化设备替代需求也在持续释放，成为该细分品类市场增长的重要增量。两大增长动力持续发力，叠加产品自身的核心优势与行业转型趋势，使得该细分品类市场增长潜力巨大，也为本项目的市场拓展提供了广阔的空间与坚实的需求支撑。经测算，未来5年该细分品类的设备需求缺口将从当前的1.2万台扩大至3.5万台，市场增长空间显著。</w:t>
      </w:r>
    </w:p>
    <w:p w14:paraId="5CC86549">
      <w:pPr>
        <w:pStyle w:val="3"/>
        <w:numPr>
          <w:ilvl w:val="0"/>
          <w:numId w:val="8"/>
        </w:numPr>
        <w:bidi w:val="0"/>
        <w:ind w:left="0" w:leftChars="0" w:firstLine="0" w:firstLineChars="0"/>
        <w:rPr>
          <w:rFonts w:hint="default"/>
          <w:lang w:val="en-US" w:eastAsia="zh-CN"/>
        </w:rPr>
      </w:pPr>
      <w:bookmarkStart w:id="14" w:name="_Toc16750"/>
      <w:bookmarkStart w:id="15" w:name="_Toc2636"/>
      <w:r>
        <w:rPr>
          <w:rFonts w:hint="default"/>
          <w:lang w:val="en-US" w:eastAsia="zh-CN"/>
        </w:rPr>
        <w:t>竞争格局分析</w:t>
      </w:r>
      <w:bookmarkEnd w:id="14"/>
      <w:bookmarkEnd w:id="15"/>
    </w:p>
    <w:p w14:paraId="3AAF4C46">
      <w:pPr>
        <w:pStyle w:val="4"/>
        <w:numPr>
          <w:ilvl w:val="0"/>
          <w:numId w:val="10"/>
        </w:numPr>
        <w:bidi w:val="0"/>
        <w:ind w:left="0" w:leftChars="0" w:firstLine="0" w:firstLineChars="0"/>
        <w:rPr>
          <w:rFonts w:hint="eastAsia"/>
          <w:lang w:val="en-US" w:eastAsia="zh-CN"/>
        </w:rPr>
      </w:pPr>
      <w:r>
        <w:rPr>
          <w:rFonts w:hint="eastAsia"/>
          <w:lang w:val="en-US" w:eastAsia="zh-CN"/>
        </w:rPr>
        <w:t>竞争主体对比</w:t>
      </w:r>
    </w:p>
    <w:p w14:paraId="37996521">
      <w:pPr>
        <w:keepNext w:val="0"/>
        <w:keepLines w:val="0"/>
        <w:widowControl/>
        <w:suppressLineNumbers w:val="0"/>
        <w:jc w:val="left"/>
        <w:rPr>
          <w:rFonts w:hint="eastAsia"/>
          <w:lang w:val="en-US" w:eastAsia="zh-CN"/>
        </w:rPr>
      </w:pPr>
      <w:r>
        <w:rPr>
          <w:rFonts w:ascii="宋体" w:hAnsi="宋体" w:eastAsia="宋体" w:cs="宋体"/>
          <w:kern w:val="0"/>
          <w:sz w:val="24"/>
          <w:szCs w:val="24"/>
          <w:lang w:val="en-US" w:eastAsia="zh-CN" w:bidi="ar"/>
        </w:rPr>
        <w:t>当前N95口罩生产设备市场竞争主体清晰，主要分为三类：本项目PLC全自动高速智造系统、传统半自动化设备、进口全自动设备，三类主体各具优势与短板，市场定位差异明显，共同构成了当前的市场竞争格局。通过多维度对比可见，三类产品的核心差异集中在技术水平、生产效率、性价比三个核心层面，这种差异直接决定了其目标客户群体与市场占有率，也凸显了本项目产品的差异化竞争优势，为后续市场拓展提供了清晰的竞争导向。</w:t>
      </w:r>
    </w:p>
    <w:tbl>
      <w:tblPr>
        <w:tblStyle w:val="14"/>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989"/>
        <w:gridCol w:w="3855"/>
        <w:gridCol w:w="1814"/>
        <w:gridCol w:w="2008"/>
      </w:tblGrid>
      <w:tr w14:paraId="735D6466">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nil"/>
              <w:left w:val="nil"/>
              <w:bottom w:val="single" w:color="000000" w:sz="4" w:space="0"/>
              <w:right w:val="single" w:color="000000" w:sz="4" w:space="0"/>
            </w:tcBorders>
            <w:shd w:val="clear" w:color="auto" w:fill="F2F2F2"/>
            <w:tcMar>
              <w:top w:w="120" w:type="dxa"/>
              <w:left w:w="180" w:type="dxa"/>
              <w:bottom w:w="120" w:type="dxa"/>
              <w:right w:w="180" w:type="dxa"/>
            </w:tcMar>
            <w:vAlign w:val="center"/>
          </w:tcPr>
          <w:p w14:paraId="56BD5CE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竞争维度</w:t>
            </w:r>
          </w:p>
        </w:tc>
        <w:tc>
          <w:tcPr>
            <w:tcW w:w="0" w:type="auto"/>
            <w:tcBorders>
              <w:top w:val="nil"/>
              <w:left w:val="single" w:color="000000" w:sz="4" w:space="0"/>
              <w:bottom w:val="single" w:color="000000" w:sz="4" w:space="0"/>
              <w:right w:val="single" w:color="000000" w:sz="4" w:space="0"/>
            </w:tcBorders>
            <w:shd w:val="clear" w:color="auto" w:fill="F2F2F2"/>
            <w:tcMar>
              <w:top w:w="120" w:type="dxa"/>
              <w:left w:w="180" w:type="dxa"/>
              <w:bottom w:w="120" w:type="dxa"/>
              <w:right w:w="180" w:type="dxa"/>
            </w:tcMar>
            <w:vAlign w:val="center"/>
          </w:tcPr>
          <w:p w14:paraId="0B4E6F1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center"/>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本项目产品</w:t>
            </w:r>
          </w:p>
        </w:tc>
        <w:tc>
          <w:tcPr>
            <w:tcW w:w="1814" w:type="dxa"/>
            <w:tcBorders>
              <w:top w:val="nil"/>
              <w:left w:val="single" w:color="000000" w:sz="4" w:space="0"/>
              <w:bottom w:val="single" w:color="000000" w:sz="4" w:space="0"/>
              <w:right w:val="single" w:color="000000" w:sz="4" w:space="0"/>
            </w:tcBorders>
            <w:shd w:val="clear" w:color="auto" w:fill="F2F2F2"/>
            <w:tcMar>
              <w:top w:w="120" w:type="dxa"/>
              <w:left w:w="180" w:type="dxa"/>
              <w:bottom w:w="120" w:type="dxa"/>
              <w:right w:w="180" w:type="dxa"/>
            </w:tcMar>
            <w:vAlign w:val="center"/>
          </w:tcPr>
          <w:p w14:paraId="2B06468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传统半自动化设备</w:t>
            </w:r>
          </w:p>
        </w:tc>
        <w:tc>
          <w:tcPr>
            <w:tcW w:w="2008" w:type="dxa"/>
            <w:tcBorders>
              <w:top w:val="nil"/>
              <w:left w:val="single" w:color="000000" w:sz="4" w:space="0"/>
              <w:bottom w:val="single" w:color="000000" w:sz="4" w:space="0"/>
              <w:right w:val="nil"/>
            </w:tcBorders>
            <w:shd w:val="clear" w:color="auto" w:fill="F2F2F2"/>
            <w:tcMar>
              <w:top w:w="120" w:type="dxa"/>
              <w:left w:w="180" w:type="dxa"/>
              <w:bottom w:w="120" w:type="dxa"/>
              <w:right w:w="180" w:type="dxa"/>
            </w:tcMar>
            <w:vAlign w:val="center"/>
          </w:tcPr>
          <w:p w14:paraId="32A03D9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进口全自动设备</w:t>
            </w:r>
          </w:p>
        </w:tc>
      </w:tr>
      <w:tr w14:paraId="3F47B92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989" w:type="dxa"/>
            <w:tcBorders>
              <w:top w:val="single" w:color="000000" w:sz="4" w:space="0"/>
              <w:left w:val="nil"/>
              <w:bottom w:val="single" w:color="000000" w:sz="4" w:space="0"/>
              <w:right w:val="single" w:color="000000" w:sz="4" w:space="0"/>
            </w:tcBorders>
            <w:shd w:val="clear" w:color="auto" w:fill="FFFFFF"/>
            <w:tcMar>
              <w:top w:w="120" w:type="dxa"/>
              <w:left w:w="180" w:type="dxa"/>
              <w:bottom w:w="120" w:type="dxa"/>
              <w:right w:w="180" w:type="dxa"/>
            </w:tcMar>
            <w:vAlign w:val="center"/>
          </w:tcPr>
          <w:p w14:paraId="10C4F81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核心优势</w:t>
            </w:r>
          </w:p>
        </w:tc>
        <w:tc>
          <w:tcPr>
            <w:tcW w:w="3855"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434693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PLC 多轴协同、180 片 / 分钟高速生产、精度≤2mm、高性价比</w:t>
            </w:r>
          </w:p>
        </w:tc>
        <w:tc>
          <w:tcPr>
            <w:tcW w:w="1814"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574427E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成本低</w:t>
            </w:r>
          </w:p>
        </w:tc>
        <w:tc>
          <w:tcPr>
            <w:tcW w:w="2008" w:type="dxa"/>
            <w:tcBorders>
              <w:top w:val="single" w:color="000000" w:sz="4" w:space="0"/>
              <w:left w:val="single" w:color="000000" w:sz="4" w:space="0"/>
              <w:bottom w:val="single" w:color="000000" w:sz="4" w:space="0"/>
              <w:right w:val="nil"/>
            </w:tcBorders>
            <w:shd w:val="clear" w:color="auto" w:fill="FFFFFF"/>
            <w:tcMar>
              <w:top w:w="120" w:type="dxa"/>
              <w:left w:w="180" w:type="dxa"/>
              <w:bottom w:w="120" w:type="dxa"/>
              <w:right w:w="180" w:type="dxa"/>
            </w:tcMar>
            <w:vAlign w:val="center"/>
          </w:tcPr>
          <w:p w14:paraId="6839444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稳定性强</w:t>
            </w:r>
          </w:p>
        </w:tc>
      </w:tr>
      <w:tr w14:paraId="0F7157F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989" w:type="dxa"/>
            <w:tcBorders>
              <w:top w:val="single" w:color="000000" w:sz="4" w:space="0"/>
              <w:left w:val="nil"/>
              <w:bottom w:val="single" w:color="000000" w:sz="4" w:space="0"/>
              <w:right w:val="single" w:color="000000" w:sz="4" w:space="0"/>
            </w:tcBorders>
            <w:shd w:val="clear" w:color="auto" w:fill="FFFFFF"/>
            <w:tcMar>
              <w:top w:w="120" w:type="dxa"/>
              <w:left w:w="180" w:type="dxa"/>
              <w:bottom w:w="120" w:type="dxa"/>
              <w:right w:w="180" w:type="dxa"/>
            </w:tcMar>
            <w:vAlign w:val="center"/>
          </w:tcPr>
          <w:p w14:paraId="5AFE37D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技术创新</w:t>
            </w:r>
          </w:p>
        </w:tc>
        <w:tc>
          <w:tcPr>
            <w:tcW w:w="3855"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695F1CE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总线伺服控制、凸轮精准定位、一键提速</w:t>
            </w:r>
          </w:p>
        </w:tc>
        <w:tc>
          <w:tcPr>
            <w:tcW w:w="1814"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4E04A9C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单一工序自动化、无协同控制</w:t>
            </w:r>
          </w:p>
        </w:tc>
        <w:tc>
          <w:tcPr>
            <w:tcW w:w="2008" w:type="dxa"/>
            <w:tcBorders>
              <w:top w:val="single" w:color="000000" w:sz="4" w:space="0"/>
              <w:left w:val="single" w:color="000000" w:sz="4" w:space="0"/>
              <w:bottom w:val="single" w:color="000000" w:sz="4" w:space="0"/>
              <w:right w:val="nil"/>
            </w:tcBorders>
            <w:shd w:val="clear" w:color="auto" w:fill="FFFFFF"/>
            <w:tcMar>
              <w:top w:w="120" w:type="dxa"/>
              <w:left w:w="180" w:type="dxa"/>
              <w:bottom w:w="120" w:type="dxa"/>
              <w:right w:w="180" w:type="dxa"/>
            </w:tcMar>
            <w:vAlign w:val="center"/>
          </w:tcPr>
          <w:p w14:paraId="5DCD71F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多技术集成、智能化程度高</w:t>
            </w:r>
          </w:p>
        </w:tc>
      </w:tr>
      <w:tr w14:paraId="079B95F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989" w:type="dxa"/>
            <w:tcBorders>
              <w:top w:val="single" w:color="000000" w:sz="4" w:space="0"/>
              <w:left w:val="nil"/>
              <w:bottom w:val="single" w:color="000000" w:sz="4" w:space="0"/>
              <w:right w:val="single" w:color="000000" w:sz="4" w:space="0"/>
            </w:tcBorders>
            <w:shd w:val="clear" w:color="auto" w:fill="FFFFFF"/>
            <w:tcMar>
              <w:top w:w="120" w:type="dxa"/>
              <w:left w:w="180" w:type="dxa"/>
              <w:bottom w:w="120" w:type="dxa"/>
              <w:right w:w="180" w:type="dxa"/>
            </w:tcMar>
            <w:vAlign w:val="center"/>
          </w:tcPr>
          <w:p w14:paraId="348B9BA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生产效率</w:t>
            </w:r>
          </w:p>
        </w:tc>
        <w:tc>
          <w:tcPr>
            <w:tcW w:w="3855"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1B82DB1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45-180 片 / 分钟</w:t>
            </w:r>
          </w:p>
        </w:tc>
        <w:tc>
          <w:tcPr>
            <w:tcW w:w="1814"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03EF2AE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≤60 片 / 分钟</w:t>
            </w:r>
          </w:p>
        </w:tc>
        <w:tc>
          <w:tcPr>
            <w:tcW w:w="2008" w:type="dxa"/>
            <w:tcBorders>
              <w:top w:val="single" w:color="000000" w:sz="4" w:space="0"/>
              <w:left w:val="single" w:color="000000" w:sz="4" w:space="0"/>
              <w:bottom w:val="single" w:color="000000" w:sz="4" w:space="0"/>
              <w:right w:val="nil"/>
            </w:tcBorders>
            <w:shd w:val="clear" w:color="auto" w:fill="FFFFFF"/>
            <w:tcMar>
              <w:top w:w="120" w:type="dxa"/>
              <w:left w:w="180" w:type="dxa"/>
              <w:bottom w:w="120" w:type="dxa"/>
              <w:right w:w="180" w:type="dxa"/>
            </w:tcMar>
            <w:vAlign w:val="center"/>
          </w:tcPr>
          <w:p w14:paraId="41D6D3F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80-150 片 / 分钟</w:t>
            </w:r>
          </w:p>
        </w:tc>
      </w:tr>
      <w:tr w14:paraId="191A61E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989" w:type="dxa"/>
            <w:tcBorders>
              <w:top w:val="single" w:color="000000" w:sz="4" w:space="0"/>
              <w:left w:val="nil"/>
              <w:bottom w:val="single" w:color="000000" w:sz="4" w:space="0"/>
              <w:right w:val="single" w:color="000000" w:sz="4" w:space="0"/>
            </w:tcBorders>
            <w:shd w:val="clear" w:color="auto" w:fill="FFFFFF"/>
            <w:tcMar>
              <w:top w:w="120" w:type="dxa"/>
              <w:left w:w="180" w:type="dxa"/>
              <w:bottom w:w="120" w:type="dxa"/>
              <w:right w:w="180" w:type="dxa"/>
            </w:tcMar>
            <w:vAlign w:val="center"/>
          </w:tcPr>
          <w:p w14:paraId="015DE90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产品合格率</w:t>
            </w:r>
          </w:p>
        </w:tc>
        <w:tc>
          <w:tcPr>
            <w:tcW w:w="3855"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4949291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≥99%</w:t>
            </w:r>
          </w:p>
        </w:tc>
        <w:tc>
          <w:tcPr>
            <w:tcW w:w="1814"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5A23CB4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≤85%</w:t>
            </w:r>
          </w:p>
        </w:tc>
        <w:tc>
          <w:tcPr>
            <w:tcW w:w="2008" w:type="dxa"/>
            <w:tcBorders>
              <w:top w:val="single" w:color="000000" w:sz="4" w:space="0"/>
              <w:left w:val="single" w:color="000000" w:sz="4" w:space="0"/>
              <w:bottom w:val="single" w:color="000000" w:sz="4" w:space="0"/>
              <w:right w:val="nil"/>
            </w:tcBorders>
            <w:shd w:val="clear" w:color="auto" w:fill="FFFFFF"/>
            <w:tcMar>
              <w:top w:w="120" w:type="dxa"/>
              <w:left w:w="180" w:type="dxa"/>
              <w:bottom w:w="120" w:type="dxa"/>
              <w:right w:w="180" w:type="dxa"/>
            </w:tcMar>
            <w:vAlign w:val="center"/>
          </w:tcPr>
          <w:p w14:paraId="1CCBAF1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≥98%</w:t>
            </w:r>
          </w:p>
        </w:tc>
      </w:tr>
      <w:tr w14:paraId="52E083B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989" w:type="dxa"/>
            <w:tcBorders>
              <w:top w:val="single" w:color="000000" w:sz="4" w:space="0"/>
              <w:left w:val="nil"/>
              <w:bottom w:val="single" w:color="000000" w:sz="4" w:space="0"/>
              <w:right w:val="single" w:color="000000" w:sz="4" w:space="0"/>
            </w:tcBorders>
            <w:shd w:val="clear" w:color="auto" w:fill="FFFFFF"/>
            <w:tcMar>
              <w:top w:w="120" w:type="dxa"/>
              <w:left w:w="180" w:type="dxa"/>
              <w:bottom w:w="120" w:type="dxa"/>
              <w:right w:w="180" w:type="dxa"/>
            </w:tcMar>
            <w:vAlign w:val="center"/>
          </w:tcPr>
          <w:p w14:paraId="37ED154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换型周期</w:t>
            </w:r>
          </w:p>
        </w:tc>
        <w:tc>
          <w:tcPr>
            <w:tcW w:w="3855"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328D244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≤30 分钟</w:t>
            </w:r>
          </w:p>
        </w:tc>
        <w:tc>
          <w:tcPr>
            <w:tcW w:w="1814"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0F32418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≥2 小时</w:t>
            </w:r>
          </w:p>
        </w:tc>
        <w:tc>
          <w:tcPr>
            <w:tcW w:w="2008" w:type="dxa"/>
            <w:tcBorders>
              <w:top w:val="single" w:color="000000" w:sz="4" w:space="0"/>
              <w:left w:val="single" w:color="000000" w:sz="4" w:space="0"/>
              <w:bottom w:val="single" w:color="000000" w:sz="4" w:space="0"/>
              <w:right w:val="nil"/>
            </w:tcBorders>
            <w:shd w:val="clear" w:color="auto" w:fill="FFFFFF"/>
            <w:tcMar>
              <w:top w:w="120" w:type="dxa"/>
              <w:left w:w="180" w:type="dxa"/>
              <w:bottom w:w="120" w:type="dxa"/>
              <w:right w:w="180" w:type="dxa"/>
            </w:tcMar>
            <w:vAlign w:val="center"/>
          </w:tcPr>
          <w:p w14:paraId="051342F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≤1 小时</w:t>
            </w:r>
          </w:p>
        </w:tc>
      </w:tr>
      <w:tr w14:paraId="2370C9B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989" w:type="dxa"/>
            <w:tcBorders>
              <w:top w:val="single" w:color="000000" w:sz="4" w:space="0"/>
              <w:left w:val="nil"/>
              <w:bottom w:val="nil"/>
              <w:right w:val="single" w:color="000000" w:sz="4" w:space="0"/>
            </w:tcBorders>
            <w:shd w:val="clear" w:color="auto" w:fill="FFFFFF"/>
            <w:tcMar>
              <w:top w:w="120" w:type="dxa"/>
              <w:left w:w="180" w:type="dxa"/>
              <w:bottom w:w="120" w:type="dxa"/>
              <w:right w:w="180" w:type="dxa"/>
            </w:tcMar>
            <w:vAlign w:val="center"/>
          </w:tcPr>
          <w:p w14:paraId="01A3884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价格区间</w:t>
            </w:r>
          </w:p>
        </w:tc>
        <w:tc>
          <w:tcPr>
            <w:tcW w:w="3855" w:type="dxa"/>
            <w:tcBorders>
              <w:top w:val="single" w:color="000000" w:sz="4" w:space="0"/>
              <w:left w:val="single" w:color="000000" w:sz="4" w:space="0"/>
              <w:bottom w:val="nil"/>
              <w:right w:val="single" w:color="000000" w:sz="4" w:space="0"/>
            </w:tcBorders>
            <w:shd w:val="clear" w:color="auto" w:fill="FFFFFF"/>
            <w:tcMar>
              <w:top w:w="120" w:type="dxa"/>
              <w:left w:w="180" w:type="dxa"/>
              <w:bottom w:w="120" w:type="dxa"/>
              <w:right w:w="180" w:type="dxa"/>
            </w:tcMar>
            <w:vAlign w:val="center"/>
          </w:tcPr>
          <w:p w14:paraId="04BB6C6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50-150 万元 / 套</w:t>
            </w:r>
          </w:p>
        </w:tc>
        <w:tc>
          <w:tcPr>
            <w:tcW w:w="1814" w:type="dxa"/>
            <w:tcBorders>
              <w:top w:val="single" w:color="000000" w:sz="4" w:space="0"/>
              <w:left w:val="single" w:color="000000" w:sz="4" w:space="0"/>
              <w:bottom w:val="nil"/>
              <w:right w:val="single" w:color="000000" w:sz="4" w:space="0"/>
            </w:tcBorders>
            <w:shd w:val="clear" w:color="auto" w:fill="FFFFFF"/>
            <w:tcMar>
              <w:top w:w="120" w:type="dxa"/>
              <w:left w:w="180" w:type="dxa"/>
              <w:bottom w:w="120" w:type="dxa"/>
              <w:right w:w="180" w:type="dxa"/>
            </w:tcMar>
            <w:vAlign w:val="center"/>
          </w:tcPr>
          <w:p w14:paraId="25370A3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10-30 万元 / 套</w:t>
            </w:r>
          </w:p>
        </w:tc>
        <w:tc>
          <w:tcPr>
            <w:tcW w:w="2008" w:type="dxa"/>
            <w:tcBorders>
              <w:top w:val="single" w:color="000000" w:sz="4" w:space="0"/>
              <w:left w:val="single" w:color="000000" w:sz="4" w:space="0"/>
              <w:bottom w:val="nil"/>
              <w:right w:val="nil"/>
            </w:tcBorders>
            <w:shd w:val="clear" w:color="auto" w:fill="FFFFFF"/>
            <w:tcMar>
              <w:top w:w="120" w:type="dxa"/>
              <w:left w:w="180" w:type="dxa"/>
              <w:bottom w:w="120" w:type="dxa"/>
              <w:right w:w="180" w:type="dxa"/>
            </w:tcMar>
            <w:vAlign w:val="center"/>
          </w:tcPr>
          <w:p w14:paraId="465C19A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200-500 万元 / 套</w:t>
            </w:r>
          </w:p>
        </w:tc>
      </w:tr>
    </w:tbl>
    <w:p w14:paraId="1CE72E8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kern w:val="0"/>
          <w:sz w:val="24"/>
          <w:szCs w:val="16"/>
          <w:lang w:val="en-US" w:eastAsia="zh-CN" w:bidi="ar"/>
        </w:rPr>
      </w:pPr>
      <w:r>
        <w:rPr>
          <w:rFonts w:hint="eastAsia" w:ascii="宋体" w:hAnsi="宋体" w:eastAsia="宋体" w:cs="宋体"/>
          <w:b w:val="0"/>
          <w:bCs w:val="0"/>
          <w:kern w:val="0"/>
          <w:sz w:val="24"/>
          <w:szCs w:val="16"/>
          <w:lang w:val="en-US" w:eastAsia="zh-CN" w:bidi="ar"/>
        </w:rPr>
        <w:t xml:space="preserve">表2.1 </w:t>
      </w:r>
      <w:r>
        <w:rPr>
          <w:rFonts w:hint="default" w:ascii="宋体" w:hAnsi="宋体" w:eastAsia="宋体" w:cs="宋体"/>
          <w:b w:val="0"/>
          <w:bCs w:val="0"/>
          <w:kern w:val="0"/>
          <w:sz w:val="24"/>
          <w:szCs w:val="16"/>
          <w:lang w:val="en-US" w:eastAsia="zh-CN" w:bidi="ar"/>
        </w:rPr>
        <w:t>竞争主体对比</w:t>
      </w:r>
    </w:p>
    <w:p w14:paraId="1528549F">
      <w:pPr>
        <w:keepNext w:val="0"/>
        <w:keepLines w:val="0"/>
        <w:widowControl/>
        <w:suppressLineNumbers w:val="0"/>
        <w:jc w:val="left"/>
        <w:rPr>
          <w:rFonts w:hint="default" w:ascii="宋体" w:hAnsi="宋体" w:eastAsia="宋体" w:cs="宋体"/>
          <w:b w:val="0"/>
          <w:bCs w:val="0"/>
          <w:kern w:val="0"/>
          <w:sz w:val="24"/>
          <w:szCs w:val="16"/>
          <w:lang w:val="en-US" w:eastAsia="zh-CN" w:bidi="ar"/>
        </w:rPr>
      </w:pPr>
      <w:r>
        <w:rPr>
          <w:rFonts w:ascii="宋体" w:hAnsi="宋体" w:eastAsia="宋体" w:cs="宋体"/>
          <w:kern w:val="0"/>
          <w:sz w:val="24"/>
          <w:szCs w:val="24"/>
          <w:lang w:val="en-US" w:eastAsia="zh-CN" w:bidi="ar"/>
        </w:rPr>
        <w:t>从对比数据可以看出，传统半自动化设备虽成本较低，但生产效率、精度与灵活性均存在明显短板，仅适用于小型作坊式生产，未来将逐步被自动化设备替代；进口设备虽稳定性与智能化程度高，但价格昂贵，远超中小企业采购预算，且售后响应滞后，市场覆盖面有限；本项目产品则精准填补了二者之间的市场空白，兼顾高速、高精度与高性价比，适配绝大多数口罩生产企业的需求，竞争优势凸显。</w:t>
      </w:r>
    </w:p>
    <w:p w14:paraId="190F50C5">
      <w:pPr>
        <w:pStyle w:val="4"/>
        <w:numPr>
          <w:ilvl w:val="0"/>
          <w:numId w:val="10"/>
        </w:numPr>
        <w:bidi w:val="0"/>
        <w:ind w:left="0" w:leftChars="0" w:firstLine="0" w:firstLineChars="0"/>
        <w:rPr>
          <w:rFonts w:hint="default"/>
          <w:lang w:val="en-US" w:eastAsia="zh-CN"/>
        </w:rPr>
      </w:pPr>
      <w:r>
        <w:rPr>
          <w:rFonts w:hint="default"/>
          <w:lang w:val="en-US" w:eastAsia="zh-CN"/>
        </w:rPr>
        <w:t>竞争优势总结</w:t>
      </w:r>
    </w:p>
    <w:p w14:paraId="306BDCE6">
      <w:pPr>
        <w:keepNext w:val="0"/>
        <w:keepLines w:val="0"/>
        <w:widowControl/>
        <w:suppressLineNumbers w:val="0"/>
        <w:jc w:val="left"/>
      </w:pPr>
      <w:bookmarkStart w:id="16" w:name="_Toc13051"/>
      <w:r>
        <w:rPr>
          <w:rFonts w:ascii="宋体" w:hAnsi="宋体" w:eastAsia="宋体" w:cs="宋体"/>
          <w:kern w:val="0"/>
          <w:sz w:val="24"/>
          <w:szCs w:val="24"/>
          <w:lang w:val="en-US" w:eastAsia="zh-CN" w:bidi="ar"/>
        </w:rPr>
        <w:t>本项目核心技术壁垒显著，核心在于PLC多轴协同控制与EtherCAT总线技术的深度融合。传统设备多采用单一PLC脉冲控制，33个伺服轴难以实现精准同步，导致焊接偏差大、生产效率低，而本项目通过两项技术的协同应用，将33个伺服轴的同步误差控制在1ms内，耳带焊接精度稳定≤2mm，生产速度可达180片/分钟，较传统半自动化设备提升3倍。与进口同类设备相比，本项目在保持同等精度与速度的前提下，无需支付高额技术授权费，性价比优势尤为突出，某试点企业对比测试显示，进口设备单套售价400万元，而本系统最高售价仅150万元，性能却完全达标，且适配国内企业的生产场景与运维能力。</w:t>
      </w:r>
    </w:p>
    <w:p w14:paraId="19CB929E">
      <w:pPr>
        <w:keepNext w:val="0"/>
        <w:keepLines w:val="0"/>
        <w:widowControl/>
        <w:suppressLineNumbers w:val="0"/>
        <w:jc w:val="left"/>
      </w:pPr>
      <w:r>
        <w:rPr>
          <w:rFonts w:ascii="宋体" w:hAnsi="宋体" w:eastAsia="宋体" w:cs="宋体"/>
          <w:kern w:val="0"/>
          <w:sz w:val="24"/>
          <w:szCs w:val="24"/>
          <w:lang w:val="en-US" w:eastAsia="zh-CN" w:bidi="ar"/>
        </w:rPr>
        <w:t>技术的不可复制性进一步巩固壁垒，项目自主研发的凸轮点位动态计算算法，打破了传统固定参数控制的局限。该算法可实时采集口罩宽度数据，自动调整各伺服轴的运动参数与凸轮曲线，无需人工拆解调试，即可快速适配3-6层、不同尺寸的N95口罩生产，某型号口罩宽度从17.5cm调整至18.5cm时，算法仅需2秒即可完成参数重置，而传统设备需人工调试1小时以上，这种技术融合深度，需长期的行业实践与技术积累，同行难以快速复制模仿。此外，算法可根据原材料特性自动调整张力与速度，有效应对不同克重无纺布的生产需求，进一步提升了产品适配性，巩固了技术壁垒。</w:t>
      </w:r>
    </w:p>
    <w:p w14:paraId="28FC0E01">
      <w:pPr>
        <w:keepNext w:val="0"/>
        <w:keepLines w:val="0"/>
        <w:widowControl/>
        <w:suppressLineNumbers w:val="0"/>
        <w:jc w:val="left"/>
      </w:pPr>
      <w:r>
        <w:rPr>
          <w:rFonts w:ascii="宋体" w:hAnsi="宋体" w:eastAsia="宋体" w:cs="宋体"/>
          <w:kern w:val="0"/>
          <w:sz w:val="24"/>
          <w:szCs w:val="24"/>
          <w:lang w:val="en-US" w:eastAsia="zh-CN" w:bidi="ar"/>
        </w:rPr>
        <w:t>性价比优势成为项目抢占市场的核心抓手，核心硬件均采用国产化供应链布局，选用信捷XDH-60T4-E PLC、国产总线伺服驱动器等成熟部件，大幅降低了硬件采购与供应链成本，单套系统生产成本严格控制在35万元以内。基于此，项目制定了50-150万元的阶梯定价策略，仅为进口设备售价的1/4-1/2，精准覆盖中小微企业50-200万元的采购预算，同时保持30%-45%的稳定毛利率，既满足了中小企业低成本转型的需求，又为后续技术迭代与研发投入提供了资金保障，形成“性价比-研发投入-技术升级”的良性循环。经调研，相较于进口设备，80%的中小企业更倾向于选择本项目这类高性价比、适配性强的国产自动化设备。</w:t>
      </w:r>
    </w:p>
    <w:p w14:paraId="1A2BFD11">
      <w:pPr>
        <w:keepNext w:val="0"/>
        <w:keepLines w:val="0"/>
        <w:widowControl/>
        <w:suppressLineNumbers w:val="0"/>
        <w:jc w:val="left"/>
      </w:pPr>
      <w:r>
        <w:rPr>
          <w:rFonts w:ascii="宋体" w:hAnsi="宋体" w:eastAsia="宋体" w:cs="宋体"/>
          <w:kern w:val="0"/>
          <w:sz w:val="24"/>
          <w:szCs w:val="24"/>
          <w:lang w:val="en-US" w:eastAsia="zh-CN" w:bidi="ar"/>
        </w:rPr>
        <w:t>模块化设计与完善的服务保障，形成双重支撑，进一步降低企业使用门槛。系统采用模块化拆分设计，布料处理、耳带焊接、裁切出料等功能模块可独立拆分、灵活组合，企业可根据自身产能需求，从基础款逐步升级至高端款，无需一次性投入全部资金。服务保障方面，项目提供免费上门安装调试服务，帮助企业快速完成设备部署与人员培训；配备1年免费质保、7×24小时在线运维团队，通过远程诊断与现场支援相结合的方式，将平均故障解决时间控制在30分钟内，而进口设备的故障维修需等待海外工程师上门，平均耗时72小时以上，二者形成鲜明对比。这种“模块化适配+全方位服务”的模式，有效解决了中小企业“不会用、用不起、修不起”的痛点，进一步提升了项目的市场竞争力与客户粘性。</w:t>
      </w:r>
    </w:p>
    <w:p w14:paraId="06FEF419">
      <w:pPr>
        <w:pStyle w:val="3"/>
        <w:numPr>
          <w:ilvl w:val="0"/>
          <w:numId w:val="8"/>
        </w:numPr>
        <w:bidi w:val="0"/>
        <w:ind w:left="0" w:leftChars="0" w:firstLine="0" w:firstLineChars="0"/>
        <w:rPr>
          <w:rFonts w:hint="default"/>
          <w:lang w:val="en-US" w:eastAsia="zh-CN"/>
        </w:rPr>
      </w:pPr>
      <w:bookmarkStart w:id="17" w:name="_Toc14932"/>
      <w:r>
        <w:rPr>
          <w:rFonts w:hint="default"/>
          <w:lang w:val="en-US" w:eastAsia="zh-CN"/>
        </w:rPr>
        <w:t>目标市场定位</w:t>
      </w:r>
      <w:bookmarkEnd w:id="16"/>
      <w:bookmarkEnd w:id="17"/>
    </w:p>
    <w:p w14:paraId="25CBC471">
      <w:pPr>
        <w:pStyle w:val="4"/>
        <w:numPr>
          <w:ilvl w:val="0"/>
          <w:numId w:val="11"/>
        </w:numPr>
        <w:bidi w:val="0"/>
        <w:ind w:left="0" w:leftChars="0" w:firstLine="0" w:firstLineChars="0"/>
        <w:rPr>
          <w:rFonts w:hint="eastAsia"/>
          <w:lang w:val="en-US" w:eastAsia="zh-CN"/>
        </w:rPr>
      </w:pPr>
      <w:r>
        <w:rPr>
          <w:rFonts w:hint="eastAsia"/>
          <w:lang w:val="en-US" w:eastAsia="zh-CN"/>
        </w:rPr>
        <w:t>核心用户群体</w:t>
      </w:r>
    </w:p>
    <w:p w14:paraId="7CF24FDF">
      <w:pPr>
        <w:keepNext w:val="0"/>
        <w:keepLines w:val="0"/>
        <w:widowControl/>
        <w:suppressLineNumbers w:val="0"/>
        <w:jc w:val="left"/>
      </w:pPr>
      <w:r>
        <w:rPr>
          <w:rFonts w:ascii="宋体" w:hAnsi="宋体" w:eastAsia="宋体" w:cs="宋体"/>
          <w:kern w:val="0"/>
          <w:sz w:val="24"/>
          <w:szCs w:val="24"/>
          <w:lang w:val="en-US" w:eastAsia="zh-CN" w:bidi="ar"/>
        </w:rPr>
        <w:t>本项目客户群体精准分层，核心客户聚焦中小N95口罩生产企业、医疗防护用品工厂。这类客户多为区域型生产主体，日均产能需求集中在5-20万片，受资金实力限制，设备采购预算严格控制在50-150万元。其核心诉求直指降本增效、提升产品合格率，传统半自动化产线人力成本高、次品率高的痛点，严重压缩其盈利空间。 系统的高性价比与易操作特性，恰好破解其核心困境。无需组建专业技术团队，一线工人经1-2天简单培训，即可熟练操作设备完成全流程生产，某中小型口罩厂引入系统后，未新增技术岗位，仅调整现有工人分工，便实现稳定运行。相较于同类自动化设备，本系统定价贴合其预算区间，同时能将人力成本降低50%以上、产品合格率提升至99%以上，帮助其快速实现自动化转型，无需承担高额投入与技术运维压力。这类客户数量众多，占市场主体的70%以上，是项目市场销量的核心支撑。</w:t>
      </w:r>
    </w:p>
    <w:p w14:paraId="5DC0A3D5">
      <w:pPr>
        <w:keepNext w:val="0"/>
        <w:keepLines w:val="0"/>
        <w:widowControl/>
        <w:suppressLineNumbers w:val="0"/>
        <w:jc w:val="left"/>
      </w:pPr>
      <w:r>
        <w:rPr>
          <w:rFonts w:ascii="宋体" w:hAnsi="宋体" w:eastAsia="宋体" w:cs="宋体"/>
          <w:kern w:val="0"/>
          <w:sz w:val="24"/>
          <w:szCs w:val="24"/>
          <w:lang w:val="en-US" w:eastAsia="zh-CN" w:bidi="ar"/>
        </w:rPr>
        <w:t>重点客户锁定大型防护用品厂商、政府战略储备物资生产基地。这类客户生产规模庞大，对设备的高速生产能力（≥120片/分钟）与多规格适配性要求严苛，需兼顾大规模量产与多批次订单交付。系统搭载的无级调速功能，可根据生产需求灵活调整产能，模块化设计支持3-6层不同规格口罩快速切换，某大型防护厂商测试显示，系统可同时适配4种规格口罩生产，高速模式下日均产能达28.8万片，精准匹配其生产需求。这类客户订单量大、稳定性强，不仅能带来可观的营收，还能形成行业标杆案例，助力项目品牌推广，提升市场认可度。</w:t>
      </w:r>
    </w:p>
    <w:p w14:paraId="324FAE66">
      <w:pPr>
        <w:keepNext w:val="0"/>
        <w:keepLines w:val="0"/>
        <w:widowControl/>
        <w:suppressLineNumbers w:val="0"/>
        <w:jc w:val="left"/>
      </w:pPr>
      <w:r>
        <w:rPr>
          <w:rFonts w:ascii="宋体" w:hAnsi="宋体" w:eastAsia="宋体" w:cs="宋体"/>
          <w:kern w:val="0"/>
          <w:sz w:val="24"/>
          <w:szCs w:val="24"/>
          <w:lang w:val="en-US" w:eastAsia="zh-CN" w:bidi="ar"/>
        </w:rPr>
        <w:t>潜在客户涵盖跨境电商防护用品供应商、应急物资生产企业。这类客户订单随机性强、规格多样化，对设备的灵活性与稳定性要求极高，突发订单或应急需求时，需快速响应、连续生产。系统的快速换型功能（≤30分钟）可适配不同国家、不同标准的口罩规格，完善的故障预警机制的可提前规避停机风险，确保订单按时交付，完美契合其多样化、高稳定性的设备需求。随着跨境电商的快速发展，这类客户的设备需求持续增长，将成为项目市场增长的重要补充，进一步扩大市场覆盖面。</w:t>
      </w:r>
    </w:p>
    <w:p w14:paraId="62662577">
      <w:pPr>
        <w:keepNext w:val="0"/>
        <w:keepLines w:val="0"/>
        <w:widowControl/>
        <w:suppressLineNumbers w:val="0"/>
        <w:jc w:val="left"/>
      </w:pPr>
      <w:r>
        <w:rPr>
          <w:rFonts w:ascii="宋体" w:hAnsi="宋体" w:eastAsia="宋体" w:cs="宋体"/>
          <w:kern w:val="0"/>
          <w:sz w:val="24"/>
          <w:szCs w:val="24"/>
          <w:lang w:val="en-US" w:eastAsia="zh-CN" w:bidi="ar"/>
        </w:rPr>
        <w:t>分层定位的客户群体，覆盖了从中小规模到大型主体、从常规生产到应急需求的全场景，结合系统差异化优势，实现客户需求与产品特性的精准匹配，为项目市场拓展奠定坚实基础。同时，针对不同客户群体制定差异化的销售策略与服务方案，核心客户侧重性价比与便捷性，重点客户侧重定制化与稳定性，潜在客户侧重灵活性与快速响应，进一步提升客户满意度与订单转化率。</w:t>
      </w:r>
    </w:p>
    <w:p w14:paraId="29824BC1">
      <w:pPr>
        <w:pStyle w:val="4"/>
        <w:numPr>
          <w:ilvl w:val="0"/>
          <w:numId w:val="11"/>
        </w:numPr>
        <w:bidi w:val="0"/>
        <w:ind w:left="0" w:leftChars="0" w:firstLine="0" w:firstLineChars="0"/>
        <w:rPr>
          <w:rFonts w:hint="default"/>
          <w:lang w:val="en-US" w:eastAsia="zh-CN"/>
        </w:rPr>
      </w:pPr>
      <w:r>
        <w:rPr>
          <w:rFonts w:hint="default"/>
          <w:lang w:val="en-US" w:eastAsia="zh-CN"/>
        </w:rPr>
        <w:t>市场区域布局</w:t>
      </w:r>
    </w:p>
    <w:p w14:paraId="6C4D89BB">
      <w:pPr>
        <w:keepNext w:val="0"/>
        <w:keepLines w:val="0"/>
        <w:widowControl/>
        <w:suppressLineNumbers w:val="0"/>
        <w:jc w:val="left"/>
      </w:pPr>
      <w:bookmarkStart w:id="18" w:name="_Toc9435"/>
      <w:r>
        <w:rPr>
          <w:rFonts w:ascii="宋体" w:hAnsi="宋体" w:eastAsia="宋体" w:cs="宋体"/>
          <w:kern w:val="0"/>
          <w:sz w:val="24"/>
          <w:szCs w:val="24"/>
          <w:lang w:val="en-US" w:eastAsia="zh-CN" w:bidi="ar"/>
        </w:rPr>
        <w:t>优先布局长三角、珠三角、京津冀等医疗防护产业集聚区域，这些区域口罩生产企业密集，政策支持力度大，市场需求高度集中。其中，仅长三角地区规模以上防护用品企业就超800家，涵盖从原材料供应到成品生产的完整产业链，企业自动化转型意愿强烈，设备替代需求旺盛，无需投入大量人力物力进行市场培育。这些区域工业基础雄厚，技术人才密集，不仅能快速对接客户需求，还能为设备安装调试、售后运维提供便利，降低服务成本，提升客户体验。</w:t>
      </w:r>
    </w:p>
    <w:p w14:paraId="56689193">
      <w:pPr>
        <w:keepNext w:val="0"/>
        <w:keepLines w:val="0"/>
        <w:widowControl/>
        <w:suppressLineNumbers w:val="0"/>
        <w:jc w:val="left"/>
      </w:pPr>
      <w:r>
        <w:rPr>
          <w:rFonts w:ascii="宋体" w:hAnsi="宋体" w:eastAsia="宋体" w:cs="宋体"/>
          <w:kern w:val="0"/>
          <w:sz w:val="24"/>
          <w:szCs w:val="24"/>
          <w:lang w:val="en-US" w:eastAsia="zh-CN" w:bidi="ar"/>
        </w:rPr>
        <w:t>为提升客户服务效率与满意度，计划在这些核心区域设立专属销售与服务中心，实现本地化快速响应。客户提出设备咨询、安装调试、故障维修等需求时，可实现24小时内现场对接，相较于远程服务，大幅缩短响应时间，降低客户运维成本，同时依托区域政策红利，借力地方财政补贴、研发扶持等优惠，进一步降低市场推广门槛。例如在长三角地区的苏州、珠三角地区的深圳设立服务中心，辐射周边城市，实现核心区域服务全覆盖，提升客户粘性与口碑传播。</w:t>
      </w:r>
    </w:p>
    <w:p w14:paraId="3DD854E7">
      <w:pPr>
        <w:keepNext w:val="0"/>
        <w:keepLines w:val="0"/>
        <w:widowControl/>
        <w:suppressLineNumbers w:val="0"/>
        <w:jc w:val="left"/>
      </w:pPr>
      <w:r>
        <w:rPr>
          <w:rFonts w:ascii="宋体" w:hAnsi="宋体" w:eastAsia="宋体" w:cs="宋体"/>
          <w:kern w:val="0"/>
          <w:sz w:val="24"/>
          <w:szCs w:val="24"/>
          <w:lang w:val="en-US" w:eastAsia="zh-CN" w:bidi="ar"/>
        </w:rPr>
        <w:t>在巩固核心区域市场份额后，逐步向成渝、中部城市群等新兴产业区域拓展。这些区域依托国家区域发展战略，医疗防护用品产业增速迅猛，地方政府纷纷出台专项政策扶持产业升级，设备替代需求持续释放，成为市场增长的新引擎。借助地方政府的采购补贴、招商扶持等政策，可有效降低市场推广阻力，快速渗透新兴市场，扩大全国市场覆盖范围，形成 “核心区域引领、新兴区域补充” 的布局格局。这些区域中小企业数量众多，设备采购需求集中在中低端价位，与本项目产品定位高度契合，市场拓展潜力巨大。</w:t>
      </w:r>
    </w:p>
    <w:p w14:paraId="5C55E13E">
      <w:pPr>
        <w:keepNext w:val="0"/>
        <w:keepLines w:val="0"/>
        <w:widowControl/>
        <w:suppressLineNumbers w:val="0"/>
        <w:jc w:val="left"/>
      </w:pPr>
      <w:r>
        <w:rPr>
          <w:rFonts w:ascii="宋体" w:hAnsi="宋体" w:eastAsia="宋体" w:cs="宋体"/>
          <w:kern w:val="0"/>
          <w:sz w:val="24"/>
          <w:szCs w:val="24"/>
          <w:lang w:val="en-US" w:eastAsia="zh-CN" w:bidi="ar"/>
        </w:rPr>
        <w:t>同时，构建多渠道、全方位的销售网络，实现客户群体的广泛覆盖。线下层面，与国内优质医疗设备经销商、工业自动化服务商深度合作，借助其现有渠道资源，精准触达中小口罩生产企业，降低市场拓展成本；线上层面，布局主流工业电商平台，全面展示产品性能参数、试点应用案例、客户反馈等内容，方便客户随时查询、对比、咨询，提升产品曝光度与可及性；此外，积极参与中国国际医疗器械博览会（CMEF）等行业顶级展会，现场搭建展示体验区，直观呈现设备高速生产、精准控制等核心优势，面对面对接头部防护用品企业与政府采购部门，搭建高效商务对接桥梁，提升品牌影响力，推动订单转化。多渠道融合的销售模式，可实现线上引流、线下转化，全方位覆盖目标客户，提升市场拓展效率。</w:t>
      </w:r>
    </w:p>
    <w:p w14:paraId="752C6614">
      <w:pPr>
        <w:pStyle w:val="3"/>
        <w:numPr>
          <w:ilvl w:val="0"/>
          <w:numId w:val="8"/>
        </w:numPr>
        <w:bidi w:val="0"/>
        <w:ind w:left="0" w:leftChars="0" w:firstLine="0" w:firstLineChars="0"/>
        <w:rPr>
          <w:rFonts w:hint="default"/>
          <w:lang w:val="en-US" w:eastAsia="zh-CN"/>
        </w:rPr>
      </w:pPr>
      <w:bookmarkStart w:id="19" w:name="_Toc3522"/>
      <w:r>
        <w:rPr>
          <w:rFonts w:hint="default"/>
          <w:lang w:val="en-US" w:eastAsia="zh-CN"/>
        </w:rPr>
        <w:t>成本核算</w:t>
      </w:r>
      <w:bookmarkEnd w:id="18"/>
      <w:bookmarkEnd w:id="19"/>
    </w:p>
    <w:p w14:paraId="0C16E33E">
      <w:pPr>
        <w:keepNext w:val="0"/>
        <w:keepLines w:val="0"/>
        <w:widowControl/>
        <w:suppressLineNumbers w:val="0"/>
        <w:jc w:val="left"/>
        <w:rPr>
          <w:rFonts w:hint="default"/>
          <w:lang w:val="en-US" w:eastAsia="zh-CN"/>
        </w:rPr>
      </w:pPr>
      <w:r>
        <w:rPr>
          <w:rFonts w:ascii="宋体" w:hAnsi="宋体" w:eastAsia="宋体" w:cs="宋体"/>
          <w:kern w:val="0"/>
          <w:sz w:val="24"/>
          <w:szCs w:val="24"/>
          <w:lang w:val="en-US" w:eastAsia="zh-CN" w:bidi="ar"/>
        </w:rPr>
        <w:t>本项目成本核算严格遵循“精准核算、分类统计、严控成本”的原则，聚焦系统核心模块，全面统计核心硬件、软件开发、生产调试及其他辅助成本，确保成本数据真实、准确，为定价策略制定与盈利分析提供可靠依据。成本核算以单套系统为单位，涵盖生产、研发、调试、售后等全流程，重点控制核心硬件成本，通过国产化供应链布局与批量采购，有效降低采购成本，同时优化生产调试流程，提升效率、降低损耗，确保总成本控制在合理区间。</w:t>
      </w:r>
    </w:p>
    <w:tbl>
      <w:tblPr>
        <w:tblStyle w:val="14"/>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333"/>
        <w:gridCol w:w="5819"/>
        <w:gridCol w:w="1514"/>
      </w:tblGrid>
      <w:tr w14:paraId="21CCAF04">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1333" w:type="dxa"/>
            <w:tcBorders>
              <w:top w:val="nil"/>
              <w:left w:val="nil"/>
              <w:bottom w:val="single" w:color="000000" w:sz="4" w:space="0"/>
              <w:right w:val="single" w:color="000000" w:sz="4" w:space="0"/>
            </w:tcBorders>
            <w:shd w:val="clear" w:color="auto" w:fill="F2F2F2"/>
            <w:tcMar>
              <w:top w:w="120" w:type="dxa"/>
              <w:left w:w="180" w:type="dxa"/>
              <w:bottom w:w="120" w:type="dxa"/>
              <w:right w:w="180" w:type="dxa"/>
            </w:tcMar>
            <w:vAlign w:val="center"/>
          </w:tcPr>
          <w:p w14:paraId="02CFB0D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模块类型</w:t>
            </w:r>
          </w:p>
        </w:tc>
        <w:tc>
          <w:tcPr>
            <w:tcW w:w="5819" w:type="dxa"/>
            <w:tcBorders>
              <w:top w:val="nil"/>
              <w:left w:val="single" w:color="000000" w:sz="4" w:space="0"/>
              <w:bottom w:val="single" w:color="000000" w:sz="4" w:space="0"/>
              <w:right w:val="single" w:color="000000" w:sz="4" w:space="0"/>
            </w:tcBorders>
            <w:shd w:val="clear" w:color="auto" w:fill="F2F2F2"/>
            <w:tcMar>
              <w:top w:w="120" w:type="dxa"/>
              <w:left w:w="180" w:type="dxa"/>
              <w:bottom w:w="120" w:type="dxa"/>
              <w:right w:w="180" w:type="dxa"/>
            </w:tcMar>
            <w:vAlign w:val="center"/>
          </w:tcPr>
          <w:p w14:paraId="2A43110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成本明细（万元）</w:t>
            </w:r>
          </w:p>
        </w:tc>
        <w:tc>
          <w:tcPr>
            <w:tcW w:w="1514" w:type="dxa"/>
            <w:tcBorders>
              <w:top w:val="nil"/>
              <w:left w:val="single" w:color="000000" w:sz="4" w:space="0"/>
              <w:bottom w:val="single" w:color="000000" w:sz="4" w:space="0"/>
              <w:right w:val="nil"/>
            </w:tcBorders>
            <w:shd w:val="clear" w:color="auto" w:fill="F2F2F2"/>
            <w:tcMar>
              <w:top w:w="120" w:type="dxa"/>
              <w:left w:w="180" w:type="dxa"/>
              <w:bottom w:w="120" w:type="dxa"/>
              <w:right w:w="180" w:type="dxa"/>
            </w:tcMar>
            <w:vAlign w:val="center"/>
          </w:tcPr>
          <w:p w14:paraId="4F675CD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总计（万元）</w:t>
            </w:r>
          </w:p>
        </w:tc>
      </w:tr>
      <w:tr w14:paraId="59512F3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333" w:type="dxa"/>
            <w:tcBorders>
              <w:top w:val="single" w:color="000000" w:sz="4" w:space="0"/>
              <w:left w:val="nil"/>
              <w:bottom w:val="single" w:color="000000" w:sz="4" w:space="0"/>
              <w:right w:val="single" w:color="000000" w:sz="4" w:space="0"/>
            </w:tcBorders>
            <w:shd w:val="clear" w:color="auto" w:fill="FFFFFF"/>
            <w:tcMar>
              <w:top w:w="120" w:type="dxa"/>
              <w:left w:w="180" w:type="dxa"/>
              <w:bottom w:w="120" w:type="dxa"/>
              <w:right w:w="180" w:type="dxa"/>
            </w:tcMar>
            <w:vAlign w:val="center"/>
          </w:tcPr>
          <w:p w14:paraId="52949FC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核心硬件成本</w:t>
            </w:r>
          </w:p>
        </w:tc>
        <w:tc>
          <w:tcPr>
            <w:tcW w:w="5819"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0AF48D8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PLC（信捷 + 西门子）+ 伺服驱动器 + 伺服电机 + 气缸 + 传感器 + 触摸屏等</w:t>
            </w:r>
          </w:p>
        </w:tc>
        <w:tc>
          <w:tcPr>
            <w:tcW w:w="1514" w:type="dxa"/>
            <w:tcBorders>
              <w:top w:val="single" w:color="000000" w:sz="4" w:space="0"/>
              <w:left w:val="single" w:color="000000" w:sz="4" w:space="0"/>
              <w:bottom w:val="single" w:color="000000" w:sz="4" w:space="0"/>
              <w:right w:val="nil"/>
            </w:tcBorders>
            <w:shd w:val="clear" w:color="auto" w:fill="FFFFFF"/>
            <w:tcMar>
              <w:top w:w="120" w:type="dxa"/>
              <w:left w:w="180" w:type="dxa"/>
              <w:bottom w:w="120" w:type="dxa"/>
              <w:right w:w="180" w:type="dxa"/>
            </w:tcMar>
            <w:vAlign w:val="center"/>
          </w:tcPr>
          <w:p w14:paraId="3C746F9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28</w:t>
            </w:r>
          </w:p>
        </w:tc>
      </w:tr>
      <w:tr w14:paraId="2C920EE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333" w:type="dxa"/>
            <w:tcBorders>
              <w:top w:val="single" w:color="000000" w:sz="4" w:space="0"/>
              <w:left w:val="nil"/>
              <w:bottom w:val="single" w:color="000000" w:sz="4" w:space="0"/>
              <w:right w:val="single" w:color="000000" w:sz="4" w:space="0"/>
            </w:tcBorders>
            <w:shd w:val="clear" w:color="auto" w:fill="FFFFFF"/>
            <w:tcMar>
              <w:top w:w="120" w:type="dxa"/>
              <w:left w:w="180" w:type="dxa"/>
              <w:bottom w:w="120" w:type="dxa"/>
              <w:right w:w="180" w:type="dxa"/>
            </w:tcMar>
            <w:vAlign w:val="center"/>
          </w:tcPr>
          <w:p w14:paraId="2B62630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软件开发成本</w:t>
            </w:r>
          </w:p>
        </w:tc>
        <w:tc>
          <w:tcPr>
            <w:tcW w:w="5819"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14A1835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PLC 控制程序 + 凸轮协同算法 + 触摸屏界面 + 通讯协议（摊薄）</w:t>
            </w:r>
          </w:p>
        </w:tc>
        <w:tc>
          <w:tcPr>
            <w:tcW w:w="1514" w:type="dxa"/>
            <w:tcBorders>
              <w:top w:val="single" w:color="000000" w:sz="4" w:space="0"/>
              <w:left w:val="single" w:color="000000" w:sz="4" w:space="0"/>
              <w:bottom w:val="single" w:color="000000" w:sz="4" w:space="0"/>
              <w:right w:val="nil"/>
            </w:tcBorders>
            <w:shd w:val="clear" w:color="auto" w:fill="FFFFFF"/>
            <w:tcMar>
              <w:top w:w="120" w:type="dxa"/>
              <w:left w:w="180" w:type="dxa"/>
              <w:bottom w:w="120" w:type="dxa"/>
              <w:right w:w="180" w:type="dxa"/>
            </w:tcMar>
            <w:vAlign w:val="center"/>
          </w:tcPr>
          <w:p w14:paraId="6B3354D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4</w:t>
            </w:r>
          </w:p>
        </w:tc>
      </w:tr>
      <w:tr w14:paraId="51FD1C4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333" w:type="dxa"/>
            <w:tcBorders>
              <w:top w:val="single" w:color="000000" w:sz="4" w:space="0"/>
              <w:left w:val="nil"/>
              <w:bottom w:val="single" w:color="000000" w:sz="4" w:space="0"/>
              <w:right w:val="single" w:color="000000" w:sz="4" w:space="0"/>
            </w:tcBorders>
            <w:shd w:val="clear" w:color="auto" w:fill="FFFFFF"/>
            <w:tcMar>
              <w:top w:w="120" w:type="dxa"/>
              <w:left w:w="180" w:type="dxa"/>
              <w:bottom w:w="120" w:type="dxa"/>
              <w:right w:w="180" w:type="dxa"/>
            </w:tcMar>
            <w:vAlign w:val="center"/>
          </w:tcPr>
          <w:p w14:paraId="2526F9E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生产调试成本</w:t>
            </w:r>
          </w:p>
        </w:tc>
        <w:tc>
          <w:tcPr>
            <w:tcW w:w="5819"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43C477E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模块化组装 + 功能测试 + 老化测试 + 现场调试</w:t>
            </w:r>
          </w:p>
        </w:tc>
        <w:tc>
          <w:tcPr>
            <w:tcW w:w="1514" w:type="dxa"/>
            <w:tcBorders>
              <w:top w:val="single" w:color="000000" w:sz="4" w:space="0"/>
              <w:left w:val="single" w:color="000000" w:sz="4" w:space="0"/>
              <w:bottom w:val="single" w:color="000000" w:sz="4" w:space="0"/>
              <w:right w:val="nil"/>
            </w:tcBorders>
            <w:shd w:val="clear" w:color="auto" w:fill="FFFFFF"/>
            <w:tcMar>
              <w:top w:w="120" w:type="dxa"/>
              <w:left w:w="180" w:type="dxa"/>
              <w:bottom w:w="120" w:type="dxa"/>
              <w:right w:w="180" w:type="dxa"/>
            </w:tcMar>
            <w:vAlign w:val="center"/>
          </w:tcPr>
          <w:p w14:paraId="7C153B9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2</w:t>
            </w:r>
          </w:p>
        </w:tc>
      </w:tr>
      <w:tr w14:paraId="6DAAE0A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333" w:type="dxa"/>
            <w:tcBorders>
              <w:top w:val="single" w:color="000000" w:sz="4" w:space="0"/>
              <w:left w:val="nil"/>
              <w:bottom w:val="single" w:color="000000" w:sz="4" w:space="0"/>
              <w:right w:val="single" w:color="000000" w:sz="4" w:space="0"/>
            </w:tcBorders>
            <w:shd w:val="clear" w:color="auto" w:fill="FFFFFF"/>
            <w:tcMar>
              <w:top w:w="120" w:type="dxa"/>
              <w:left w:w="180" w:type="dxa"/>
              <w:bottom w:w="120" w:type="dxa"/>
              <w:right w:w="180" w:type="dxa"/>
            </w:tcMar>
            <w:vAlign w:val="center"/>
          </w:tcPr>
          <w:p w14:paraId="1464E3B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其他成本</w:t>
            </w:r>
          </w:p>
        </w:tc>
        <w:tc>
          <w:tcPr>
            <w:tcW w:w="5819"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1EEA373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包装 + 物流 + 售后储备 + 技术文档</w:t>
            </w:r>
          </w:p>
        </w:tc>
        <w:tc>
          <w:tcPr>
            <w:tcW w:w="1514" w:type="dxa"/>
            <w:tcBorders>
              <w:top w:val="single" w:color="000000" w:sz="4" w:space="0"/>
              <w:left w:val="single" w:color="000000" w:sz="4" w:space="0"/>
              <w:bottom w:val="single" w:color="000000" w:sz="4" w:space="0"/>
              <w:right w:val="nil"/>
            </w:tcBorders>
            <w:shd w:val="clear" w:color="auto" w:fill="FFFFFF"/>
            <w:tcMar>
              <w:top w:w="120" w:type="dxa"/>
              <w:left w:w="180" w:type="dxa"/>
              <w:bottom w:w="120" w:type="dxa"/>
              <w:right w:w="180" w:type="dxa"/>
            </w:tcMar>
            <w:vAlign w:val="center"/>
          </w:tcPr>
          <w:p w14:paraId="04E5A02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1</w:t>
            </w:r>
          </w:p>
        </w:tc>
      </w:tr>
      <w:tr w14:paraId="42AC54A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333" w:type="dxa"/>
            <w:tcBorders>
              <w:top w:val="single" w:color="000000" w:sz="4" w:space="0"/>
              <w:left w:val="nil"/>
              <w:bottom w:val="nil"/>
              <w:right w:val="single" w:color="000000" w:sz="4" w:space="0"/>
            </w:tcBorders>
            <w:shd w:val="clear" w:color="auto" w:fill="FFFFFF"/>
            <w:tcMar>
              <w:top w:w="120" w:type="dxa"/>
              <w:left w:w="180" w:type="dxa"/>
              <w:bottom w:w="120" w:type="dxa"/>
              <w:right w:w="180" w:type="dxa"/>
            </w:tcMar>
            <w:vAlign w:val="center"/>
          </w:tcPr>
          <w:p w14:paraId="6759E34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总成本</w:t>
            </w:r>
          </w:p>
        </w:tc>
        <w:tc>
          <w:tcPr>
            <w:tcW w:w="5819" w:type="dxa"/>
            <w:tcBorders>
              <w:top w:val="single" w:color="000000" w:sz="4" w:space="0"/>
              <w:left w:val="single" w:color="000000" w:sz="4" w:space="0"/>
              <w:bottom w:val="nil"/>
              <w:right w:val="single" w:color="000000" w:sz="4" w:space="0"/>
            </w:tcBorders>
            <w:shd w:val="clear" w:color="auto" w:fill="FFFFFF"/>
            <w:tcMar>
              <w:top w:w="120" w:type="dxa"/>
              <w:left w:w="180" w:type="dxa"/>
              <w:bottom w:w="120" w:type="dxa"/>
              <w:right w:w="180" w:type="dxa"/>
            </w:tcMar>
            <w:vAlign w:val="center"/>
          </w:tcPr>
          <w:p w14:paraId="18C9A74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w:t>
            </w:r>
          </w:p>
        </w:tc>
        <w:tc>
          <w:tcPr>
            <w:tcW w:w="1514" w:type="dxa"/>
            <w:tcBorders>
              <w:top w:val="single" w:color="000000" w:sz="4" w:space="0"/>
              <w:left w:val="single" w:color="000000" w:sz="4" w:space="0"/>
              <w:bottom w:val="nil"/>
              <w:right w:val="nil"/>
            </w:tcBorders>
            <w:shd w:val="clear" w:color="auto" w:fill="FFFFFF"/>
            <w:tcMar>
              <w:top w:w="120" w:type="dxa"/>
              <w:left w:w="180" w:type="dxa"/>
              <w:bottom w:w="120" w:type="dxa"/>
              <w:right w:w="180" w:type="dxa"/>
            </w:tcMar>
            <w:vAlign w:val="center"/>
          </w:tcPr>
          <w:p w14:paraId="087EB3B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35</w:t>
            </w:r>
          </w:p>
        </w:tc>
      </w:tr>
    </w:tbl>
    <w:p w14:paraId="7C875AB8">
      <w:pPr>
        <w:jc w:val="center"/>
        <w:rPr>
          <w:rFonts w:hint="eastAsia" w:ascii="宋体" w:hAnsi="宋体" w:eastAsia="宋体" w:cs="宋体"/>
          <w:b w:val="0"/>
          <w:bCs w:val="0"/>
          <w:kern w:val="0"/>
          <w:sz w:val="24"/>
          <w:szCs w:val="16"/>
          <w:lang w:val="en-US" w:eastAsia="zh-CN" w:bidi="ar"/>
        </w:rPr>
      </w:pPr>
      <w:bookmarkStart w:id="20" w:name="_Toc9248"/>
      <w:r>
        <w:rPr>
          <w:rFonts w:hint="eastAsia" w:ascii="宋体" w:hAnsi="宋体" w:eastAsia="宋体" w:cs="宋体"/>
          <w:b w:val="0"/>
          <w:bCs w:val="0"/>
          <w:kern w:val="0"/>
          <w:sz w:val="24"/>
          <w:szCs w:val="16"/>
          <w:lang w:val="en-US" w:eastAsia="zh-CN" w:bidi="ar"/>
        </w:rPr>
        <w:t>表2.2 成本核算</w:t>
      </w:r>
    </w:p>
    <w:p w14:paraId="69D9B432">
      <w:pPr>
        <w:keepNext w:val="0"/>
        <w:keepLines w:val="0"/>
        <w:widowControl/>
        <w:suppressLineNumbers w:val="0"/>
        <w:jc w:val="left"/>
        <w:rPr>
          <w:rFonts w:hint="default" w:ascii="宋体" w:hAnsi="宋体" w:eastAsia="宋体" w:cs="宋体"/>
          <w:b w:val="0"/>
          <w:bCs w:val="0"/>
          <w:kern w:val="0"/>
          <w:sz w:val="24"/>
          <w:szCs w:val="16"/>
          <w:lang w:val="en-US" w:eastAsia="zh-CN" w:bidi="ar"/>
        </w:rPr>
      </w:pPr>
      <w:r>
        <w:rPr>
          <w:rFonts w:ascii="宋体" w:hAnsi="宋体" w:eastAsia="宋体" w:cs="宋体"/>
          <w:kern w:val="0"/>
          <w:sz w:val="24"/>
          <w:szCs w:val="24"/>
          <w:lang w:val="en-US" w:eastAsia="zh-CN" w:bidi="ar"/>
        </w:rPr>
        <w:t>从成本构成来看，核心硬件成本占比最高，达80%，主要原因是核心硬件涵盖PLC、伺服驱动器、伺服电机等关键部件，且均选用成熟、可靠的国产优质产品，兼顾性能与成本；软件开发成本占比11.4%，主要为PLC控制程序、凸轮协同算法等核心软件的研发投入，按批量生产摊薄后，单套成本控制在4万元以内；生产调试成本占比5.7%，主要用于模块化组装、多轮功能测试与老化测试，确保设备性能稳定，同时涵盖现场安装调试成本；其他成本占比2.9%，金额较低，主要为包装、物流及售后储备物资等辅助成本。整体成本结构合理，核心成本可控，为项目高性价比定价与稳定盈利提供了坚实保障。</w:t>
      </w:r>
    </w:p>
    <w:p w14:paraId="2F60D42D">
      <w:pPr>
        <w:pStyle w:val="2"/>
        <w:bidi w:val="0"/>
        <w:rPr>
          <w:rFonts w:hint="default"/>
        </w:rPr>
      </w:pPr>
      <w:bookmarkStart w:id="21" w:name="_Toc7432"/>
      <w:r>
        <w:rPr>
          <w:rFonts w:hint="default"/>
        </w:rPr>
        <w:t>产品</w:t>
      </w:r>
      <w:bookmarkEnd w:id="20"/>
      <w:r>
        <w:rPr>
          <w:rFonts w:hint="eastAsia"/>
          <w:lang w:val="en-US" w:eastAsia="zh-CN"/>
        </w:rPr>
        <w:t>介绍</w:t>
      </w:r>
      <w:bookmarkEnd w:id="21"/>
    </w:p>
    <w:p w14:paraId="1746F808">
      <w:pPr>
        <w:pStyle w:val="3"/>
        <w:numPr>
          <w:ilvl w:val="0"/>
          <w:numId w:val="12"/>
        </w:numPr>
        <w:bidi w:val="0"/>
        <w:ind w:left="0" w:leftChars="0" w:firstLine="0" w:firstLineChars="0"/>
        <w:rPr>
          <w:rFonts w:hint="eastAsia"/>
          <w:lang w:val="en-US" w:eastAsia="zh-CN"/>
        </w:rPr>
      </w:pPr>
      <w:bookmarkStart w:id="22" w:name="_Toc18103"/>
      <w:r>
        <w:rPr>
          <w:rFonts w:hint="eastAsia"/>
          <w:lang w:val="en-US" w:eastAsia="zh-CN"/>
        </w:rPr>
        <w:t>产品架构设计</w:t>
      </w:r>
      <w:bookmarkEnd w:id="22"/>
    </w:p>
    <w:p w14:paraId="56F5B643">
      <w:pPr>
        <w:pStyle w:val="4"/>
        <w:numPr>
          <w:ilvl w:val="0"/>
          <w:numId w:val="13"/>
        </w:numPr>
        <w:bidi w:val="0"/>
        <w:ind w:left="0" w:leftChars="0" w:firstLine="0" w:firstLineChars="0"/>
        <w:rPr>
          <w:rFonts w:hint="default"/>
          <w:lang w:val="en-US" w:eastAsia="zh-CN"/>
        </w:rPr>
      </w:pPr>
      <w:r>
        <w:rPr>
          <w:rFonts w:hint="default"/>
          <w:lang w:val="en-US" w:eastAsia="zh-CN"/>
        </w:rPr>
        <w:t>硬件架构</w:t>
      </w:r>
    </w:p>
    <w:p w14:paraId="228BF5ED">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eastAsia" w:ascii="宋体" w:hAnsi="宋体" w:cs="宋体"/>
          <w:b w:val="0"/>
          <w:bCs w:val="0"/>
          <w:kern w:val="0"/>
          <w:sz w:val="24"/>
          <w:szCs w:val="16"/>
          <w:lang w:val="en-US" w:eastAsia="zh-CN" w:bidi="ar"/>
        </w:rPr>
      </w:pPr>
      <w:r>
        <w:rPr>
          <w:rFonts w:hint="eastAsia" w:ascii="宋体" w:hAnsi="宋体" w:cs="宋体"/>
          <w:b w:val="0"/>
          <w:bCs w:val="0"/>
          <w:kern w:val="0"/>
          <w:sz w:val="24"/>
          <w:szCs w:val="16"/>
          <w:lang w:val="en-US" w:eastAsia="zh-CN" w:bidi="ar"/>
        </w:rPr>
        <w:drawing>
          <wp:inline distT="0" distB="0" distL="114300" distR="114300">
            <wp:extent cx="5266055" cy="2737485"/>
            <wp:effectExtent l="0" t="0" r="4445" b="5715"/>
            <wp:docPr id="15" name="图片 15" descr="微信图片_20260123181734_53_4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微信图片_20260123181734_53_4254"/>
                    <pic:cNvPicPr>
                      <a:picLocks noChangeAspect="1"/>
                    </pic:cNvPicPr>
                  </pic:nvPicPr>
                  <pic:blipFill>
                    <a:blip r:embed="rId8"/>
                    <a:stretch>
                      <a:fillRect/>
                    </a:stretch>
                  </pic:blipFill>
                  <pic:spPr>
                    <a:xfrm>
                      <a:off x="0" y="0"/>
                      <a:ext cx="5266055" cy="2737485"/>
                    </a:xfrm>
                    <a:prstGeom prst="rect">
                      <a:avLst/>
                    </a:prstGeom>
                  </pic:spPr>
                </pic:pic>
              </a:graphicData>
            </a:graphic>
          </wp:inline>
        </w:drawing>
      </w:r>
    </w:p>
    <w:p w14:paraId="1C254389">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ascii="宋体" w:hAnsi="宋体" w:eastAsia="宋体" w:cs="宋体"/>
          <w:sz w:val="24"/>
          <w:szCs w:val="24"/>
          <w:lang w:val="en-US" w:eastAsia="zh-CN"/>
        </w:rPr>
      </w:pPr>
      <w:r>
        <w:rPr>
          <w:rFonts w:hint="eastAsia" w:ascii="宋体" w:hAnsi="宋体" w:cs="宋体"/>
          <w:b w:val="0"/>
          <w:bCs w:val="0"/>
          <w:kern w:val="0"/>
          <w:sz w:val="24"/>
          <w:szCs w:val="16"/>
          <w:lang w:val="en-US" w:eastAsia="zh-CN" w:bidi="ar"/>
        </w:rPr>
        <w:t>图3</w:t>
      </w:r>
      <w:r>
        <w:rPr>
          <w:rFonts w:hint="eastAsia" w:ascii="宋体" w:hAnsi="宋体" w:eastAsia="宋体" w:cs="宋体"/>
          <w:b w:val="0"/>
          <w:bCs w:val="0"/>
          <w:kern w:val="0"/>
          <w:sz w:val="24"/>
          <w:szCs w:val="16"/>
          <w:lang w:val="en-US" w:eastAsia="zh-CN" w:bidi="ar"/>
        </w:rPr>
        <w:t>.</w:t>
      </w:r>
      <w:r>
        <w:rPr>
          <w:rFonts w:hint="eastAsia" w:ascii="宋体" w:hAnsi="宋体" w:cs="宋体"/>
          <w:b w:val="0"/>
          <w:bCs w:val="0"/>
          <w:kern w:val="0"/>
          <w:sz w:val="24"/>
          <w:szCs w:val="16"/>
          <w:lang w:val="en-US" w:eastAsia="zh-CN" w:bidi="ar"/>
        </w:rPr>
        <w:t>1</w:t>
      </w:r>
      <w:r>
        <w:rPr>
          <w:rFonts w:hint="eastAsia" w:ascii="宋体" w:hAnsi="宋体" w:eastAsia="宋体" w:cs="宋体"/>
          <w:b w:val="0"/>
          <w:bCs w:val="0"/>
          <w:kern w:val="0"/>
          <w:sz w:val="24"/>
          <w:szCs w:val="16"/>
          <w:lang w:val="en-US" w:eastAsia="zh-CN" w:bidi="ar"/>
        </w:rPr>
        <w:t xml:space="preserve"> </w:t>
      </w:r>
      <w:r>
        <w:rPr>
          <w:rFonts w:ascii="宋体" w:hAnsi="宋体" w:eastAsia="宋体" w:cs="宋体"/>
          <w:sz w:val="24"/>
          <w:szCs w:val="24"/>
        </w:rPr>
        <w:t>设备前段 - 中段 - 后段布局</w:t>
      </w:r>
    </w:p>
    <w:p w14:paraId="72047B9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系统采用“主PLC+从PLC+总线伺服”的分布式控制架构，该架构可有效破解单一PLC控制负载过高、响应滞后的痛点，实现核心工序与辅助工序的精准分工、协同联动，与图3.1所示设备前段-中段-后段布局形成精准适配，确保各段工序的控制逻辑与设备布局对应统一。其中，主PLC选用信捷XDH-60T4-E型号，专门负责口罩本体生产全流程的核心控制，涵盖多轴协同调度、IO点位集中管理两大核心职责，直接管控布料处理、焊接、裁切等关键工序的动作时序；从PLC采用双机型配置，西门子SMART200专注于五轴移栽搬运工序的精准控制，确保成品口罩抓取、转运的定位精度≤0.5mm，西门子1200则负责V90伺服电机的驱动控制，保障输送、移栽等辅助动作的平稳性，支撑图3.1中各段设备的高效运转。​</w:t>
      </w:r>
    </w:p>
    <w:p w14:paraId="724316F2">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left"/>
        <w:textAlignment w:val="auto"/>
        <w:rPr>
          <w:rFonts w:hint="eastAsia" w:ascii="宋体" w:hAnsi="宋体" w:cs="宋体"/>
          <w:b w:val="0"/>
          <w:bCs w:val="0"/>
          <w:kern w:val="0"/>
          <w:sz w:val="24"/>
          <w:szCs w:val="16"/>
          <w:lang w:val="en-US" w:eastAsia="zh-CN" w:bidi="ar"/>
        </w:rPr>
      </w:pPr>
      <w:r>
        <w:rPr>
          <w:rFonts w:hint="eastAsia" w:ascii="宋体" w:hAnsi="宋体" w:eastAsia="宋体" w:cs="宋体"/>
          <w:sz w:val="24"/>
          <w:szCs w:val="24"/>
          <w:lang w:val="en-US" w:eastAsia="zh-CN"/>
        </w:rPr>
        <w:t>各PLC与33个伺服驱动器之间通过EtherCAT总线实现高速通讯，其通讯逻辑与图3.2所示21个总线伺服电机布局相呼应，剩余12个总线伺服电机均匀分布于设备各功能模块，共同构成全系统伺服控制网络。经实测通讯响应延迟稳定≤1ms，远低于传统脉冲控制方式的15-20ms，可确保高速生产（180片/分钟）状态下，所有伺服轴动作同步联动，有效避免布料褶皱、焊接偏差等问题，既匹配图3.1设备分段布局的工序协同需求，也契合图3.2伺服电机的分布控制逻辑，为生产精度与效率提供坚实硬件支撑。</w:t>
      </w:r>
      <w:r>
        <w:rPr>
          <w:rFonts w:hint="eastAsia" w:ascii="宋体" w:hAnsi="宋体" w:cs="宋体"/>
          <w:b w:val="0"/>
          <w:bCs w:val="0"/>
          <w:kern w:val="0"/>
          <w:sz w:val="24"/>
          <w:szCs w:val="16"/>
          <w:lang w:val="en-US" w:eastAsia="zh-CN" w:bidi="ar"/>
        </w:rPr>
        <w:drawing>
          <wp:inline distT="0" distB="0" distL="114300" distR="114300">
            <wp:extent cx="5131435" cy="3380740"/>
            <wp:effectExtent l="0" t="0" r="12065" b="10160"/>
            <wp:docPr id="30" name="图片 30" descr="微信图片_20260123181707_30_4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微信图片_20260123181707_30_4254"/>
                    <pic:cNvPicPr>
                      <a:picLocks noChangeAspect="1"/>
                    </pic:cNvPicPr>
                  </pic:nvPicPr>
                  <pic:blipFill>
                    <a:blip r:embed="rId9"/>
                    <a:stretch>
                      <a:fillRect/>
                    </a:stretch>
                  </pic:blipFill>
                  <pic:spPr>
                    <a:xfrm>
                      <a:off x="0" y="0"/>
                      <a:ext cx="5131435" cy="3380740"/>
                    </a:xfrm>
                    <a:prstGeom prst="rect">
                      <a:avLst/>
                    </a:prstGeom>
                  </pic:spPr>
                </pic:pic>
              </a:graphicData>
            </a:graphic>
          </wp:inline>
        </w:drawing>
      </w:r>
    </w:p>
    <w:p w14:paraId="4B7CB2FD">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ascii="宋体" w:hAnsi="宋体" w:eastAsia="宋体" w:cs="宋体"/>
          <w:sz w:val="24"/>
          <w:szCs w:val="24"/>
          <w:lang w:val="en-US" w:eastAsia="zh-CN"/>
        </w:rPr>
      </w:pPr>
      <w:r>
        <w:rPr>
          <w:rFonts w:hint="eastAsia" w:ascii="宋体" w:hAnsi="宋体" w:cs="宋体"/>
          <w:b w:val="0"/>
          <w:bCs w:val="0"/>
          <w:kern w:val="0"/>
          <w:sz w:val="24"/>
          <w:szCs w:val="16"/>
          <w:lang w:val="en-US" w:eastAsia="zh-CN" w:bidi="ar"/>
        </w:rPr>
        <w:t>图3</w:t>
      </w:r>
      <w:r>
        <w:rPr>
          <w:rFonts w:hint="eastAsia" w:ascii="宋体" w:hAnsi="宋体" w:eastAsia="宋体" w:cs="宋体"/>
          <w:b w:val="0"/>
          <w:bCs w:val="0"/>
          <w:kern w:val="0"/>
          <w:sz w:val="24"/>
          <w:szCs w:val="16"/>
          <w:lang w:val="en-US" w:eastAsia="zh-CN" w:bidi="ar"/>
        </w:rPr>
        <w:t>.</w:t>
      </w:r>
      <w:r>
        <w:rPr>
          <w:rFonts w:hint="eastAsia" w:ascii="宋体" w:hAnsi="宋体" w:cs="宋体"/>
          <w:b w:val="0"/>
          <w:bCs w:val="0"/>
          <w:kern w:val="0"/>
          <w:sz w:val="24"/>
          <w:szCs w:val="16"/>
          <w:lang w:val="en-US" w:eastAsia="zh-CN" w:bidi="ar"/>
        </w:rPr>
        <w:t>2</w:t>
      </w:r>
      <w:r>
        <w:rPr>
          <w:rFonts w:hint="eastAsia" w:ascii="宋体" w:hAnsi="宋体" w:eastAsia="宋体" w:cs="宋体"/>
          <w:b w:val="0"/>
          <w:bCs w:val="0"/>
          <w:kern w:val="0"/>
          <w:sz w:val="24"/>
          <w:szCs w:val="16"/>
          <w:lang w:val="en-US" w:eastAsia="zh-CN" w:bidi="ar"/>
        </w:rPr>
        <w:t xml:space="preserve"> </w:t>
      </w:r>
      <w:r>
        <w:rPr>
          <w:rFonts w:ascii="宋体" w:hAnsi="宋体" w:eastAsia="宋体" w:cs="宋体"/>
          <w:sz w:val="24"/>
          <w:szCs w:val="24"/>
        </w:rPr>
        <w:t>21个总线伺服电机布局图</w:t>
      </w:r>
    </w:p>
    <w:p w14:paraId="0A96F749">
      <w:pPr>
        <w:keepNext w:val="0"/>
        <w:keepLines w:val="0"/>
        <w:widowControl/>
        <w:suppressLineNumbers w:val="0"/>
        <w:jc w:val="left"/>
      </w:pPr>
      <w:r>
        <w:rPr>
          <w:rFonts w:ascii="宋体" w:hAnsi="宋体" w:eastAsia="宋体" w:cs="宋体"/>
          <w:kern w:val="0"/>
          <w:sz w:val="24"/>
          <w:szCs w:val="24"/>
          <w:lang w:val="en-US" w:eastAsia="zh-CN" w:bidi="ar"/>
        </w:rPr>
        <w:t>硬件整体采用模块化拆分设计，按生产工序划分为五大核心功能模块，分别为布料处理模块、鼻梁条安装模块、耳带焊接模块、裁切模块、出料模块。各模块均采用标准化接口进行连接，无需拆解整体设备，即可单独完成检修、维护或功能升级，大幅降低后期运维成本与停机损失，适配企业长期生产升级需求。</w:t>
      </w:r>
    </w:p>
    <w:p w14:paraId="4D54A316">
      <w:pPr>
        <w:keepNext w:val="0"/>
        <w:keepLines w:val="0"/>
        <w:widowControl/>
        <w:suppressLineNumbers w:val="0"/>
        <w:jc w:val="left"/>
      </w:pPr>
      <w:r>
        <w:rPr>
          <w:rFonts w:ascii="宋体" w:hAnsi="宋体" w:eastAsia="宋体" w:cs="宋体"/>
          <w:kern w:val="0"/>
          <w:sz w:val="24"/>
          <w:szCs w:val="24"/>
          <w:lang w:val="en-US" w:eastAsia="zh-CN" w:bidi="ar"/>
        </w:rPr>
        <w:t>核心元器件均选用工业级优质产品，整体防护等级达IP54，可有效抵御车间高温、粉尘、轻微水汽等复杂生产环境的侵蚀，经工业场景实测，元器件连续运行故障率≤0.5%，确保设备长期稳定运行，减少因元器件损坏导致的生产中断，进一步保障生产连续性。</w:t>
      </w:r>
    </w:p>
    <w:p w14:paraId="7AF05F45">
      <w:pPr>
        <w:pStyle w:val="4"/>
        <w:numPr>
          <w:ilvl w:val="0"/>
          <w:numId w:val="13"/>
        </w:numPr>
        <w:bidi w:val="0"/>
        <w:ind w:left="0" w:leftChars="0" w:firstLine="0" w:firstLineChars="0"/>
        <w:rPr>
          <w:rFonts w:hint="default"/>
          <w:lang w:val="en-US" w:eastAsia="zh-CN"/>
        </w:rPr>
      </w:pPr>
      <w:r>
        <w:rPr>
          <w:rFonts w:hint="default"/>
          <w:lang w:val="en-US" w:eastAsia="zh-CN"/>
        </w:rPr>
        <w:t>软件架构</w:t>
      </w:r>
    </w:p>
    <w:p w14:paraId="154E74C0">
      <w:pPr>
        <w:keepNext w:val="0"/>
        <w:keepLines w:val="0"/>
        <w:widowControl/>
        <w:suppressLineNumbers w:val="0"/>
        <w:jc w:val="left"/>
      </w:pPr>
      <w:r>
        <w:rPr>
          <w:rFonts w:ascii="宋体" w:hAnsi="宋体" w:eastAsia="宋体" w:cs="宋体"/>
          <w:kern w:val="0"/>
          <w:sz w:val="24"/>
          <w:szCs w:val="24"/>
          <w:lang w:val="en-US" w:eastAsia="zh-CN" w:bidi="ar"/>
        </w:rPr>
        <w:t>依托前文所述硬件架构，本系统搭建“控制层-驱动层-执行层-监控层”四层协同软件架构，四层架构层层联动、各司其职，实现生产全流程的精准管控与高效运转，与硬件模块形成深度适配。其中，控制层以PLC控制程序为核心，承接硬件控制需求，实现生产逻辑调度、多轴协同联动、凸轮点位参数计算等核心功能，是软件架构的“大脑”；驱动层作为控制层与执行层的桥梁，通过伺服驱动器、气缸电磁阀等部件，将控制层发出的指令精准转化为驱动信号；执行层由伺服电机、气缸、传感器等硬件部件组成，精准响应驱动信号，完成布料输送、耳带焊接、裁切出料等具体生产动作；监控层通过触摸屏与上位机实现人机交互，支持生产参数设置、设备运行状态实时监控、生产数据统计分析等功能，方便操作人员便捷管控。</w:t>
      </w:r>
    </w:p>
    <w:p w14:paraId="0C401FC7">
      <w:pPr>
        <w:keepNext w:val="0"/>
        <w:keepLines w:val="0"/>
        <w:widowControl/>
        <w:suppressLineNumbers w:val="0"/>
        <w:jc w:val="left"/>
      </w:pPr>
      <w:r>
        <w:rPr>
          <w:rFonts w:ascii="宋体" w:hAnsi="宋体" w:eastAsia="宋体" w:cs="宋体"/>
          <w:kern w:val="0"/>
          <w:sz w:val="24"/>
          <w:szCs w:val="24"/>
          <w:lang w:val="en-US" w:eastAsia="zh-CN" w:bidi="ar"/>
        </w:rPr>
        <w:t>软件设计贴合实际生产需求，支持定标/定长双生产模式，适配不同规格口罩的生产场景：定标模式通过色标检测传感器实时采集布料色标信号，自动调整口罩长度，确保产品尺寸一致性；定长模式可直接通过触摸屏设定口罩生产尺寸，操作便捷高效。同时，软件内置33张凸轮表，操作人员可在触摸屏上灵活设置各凸轮关键点位参数，精准适配拉布、焊接、裁切等不同工序的运动需求，无需修改核心程序即可完成工序适配。此外，软件具备完善的故障自诊断功能，可实时监测设备运行状态，当出现缺料、限位异常、传感器失效等故障时，立即触发声光报警并自动停机保护，同时在触摸屏上显示故障点位与原因，为快速排查故障提供支撑，减少停机损失。</w:t>
      </w:r>
    </w:p>
    <w:p w14:paraId="51F160D5">
      <w:pPr>
        <w:pStyle w:val="4"/>
        <w:numPr>
          <w:ilvl w:val="0"/>
          <w:numId w:val="13"/>
        </w:numPr>
        <w:bidi w:val="0"/>
        <w:ind w:left="0" w:leftChars="0" w:firstLine="0" w:firstLineChars="0"/>
        <w:rPr>
          <w:rFonts w:hint="default"/>
          <w:lang w:val="en-US" w:eastAsia="zh-CN"/>
        </w:rPr>
      </w:pPr>
      <w:r>
        <w:rPr>
          <w:rFonts w:hint="default"/>
          <w:lang w:val="en-US" w:eastAsia="zh-CN"/>
        </w:rPr>
        <w:t>网络架构</w:t>
      </w:r>
    </w:p>
    <w:p w14:paraId="1EAFBB4D">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为保障各层级、各设备间的数据高效传输，本系统采用以太网与485通讯双模式架构，兼顾传输速率与环境适配性，与软硬件架构协同发力，构建稳定可靠的网络传输体系。其中，主PLC与从PLC通过以太网实现数据交互，传输速率≥100Mbps，确保多PLC协同控制时的指令与数据快速同步，保障多轴协同精度；PLC与V20变频器通过Modbus-RTU通讯协议连接，实现输送带速度的无级调速，适配不同生产速度需求；触摸屏与PLC通过以太网直接连接，支持生产参数的实时读写与设备运行状态的同步显示，确保操作人员实时掌握生产动态。​</w:t>
      </w:r>
    </w:p>
    <w:p w14:paraId="1670097F">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网络设计兼顾灵活性与安全性，适配不同生产环境：无网环境下，设备可通过本地触摸屏完成所有操作，生产产量、合格率、故障记录等数据自动存储在本地SD卡中，存储容量可满足3个月以上的生产数据留存需求，无需依赖网络即可正常生产；有网环境下，系统支持生产数据上传至云端管理平台，操作人员可通过电脑、手机等终端实现远程监控、参数调试与固件升级，无需现场操作即可完成设备维护，提升运维效率。同时，网络传输采用加密协议，对生产数据、参数设置等核心信息进行加密处理，有效防止数据泄露、篡改，确保生产数据安全，契合医疗防护用品生产的规范化管理要求。</w:t>
      </w:r>
    </w:p>
    <w:p w14:paraId="17248446">
      <w:pPr>
        <w:pStyle w:val="3"/>
        <w:numPr>
          <w:ilvl w:val="0"/>
          <w:numId w:val="12"/>
        </w:numPr>
        <w:bidi w:val="0"/>
        <w:ind w:left="0" w:leftChars="0" w:firstLine="0" w:firstLineChars="0"/>
        <w:rPr>
          <w:rFonts w:hint="default"/>
          <w:lang w:val="en-US" w:eastAsia="zh-CN"/>
        </w:rPr>
      </w:pPr>
      <w:bookmarkStart w:id="23" w:name="_Toc9876"/>
      <w:r>
        <w:rPr>
          <w:rFonts w:hint="eastAsia"/>
          <w:lang w:val="en-US" w:eastAsia="zh-CN"/>
        </w:rPr>
        <w:t>核心</w:t>
      </w:r>
      <w:r>
        <w:rPr>
          <w:rFonts w:hint="default"/>
          <w:lang w:val="en-US" w:eastAsia="zh-CN"/>
        </w:rPr>
        <w:t>硬件</w:t>
      </w:r>
      <w:r>
        <w:rPr>
          <w:rFonts w:hint="eastAsia"/>
          <w:lang w:val="en-US" w:eastAsia="zh-CN"/>
        </w:rPr>
        <w:t>选型</w:t>
      </w:r>
      <w:bookmarkEnd w:id="23"/>
    </w:p>
    <w:tbl>
      <w:tblPr>
        <w:tblStyle w:val="14"/>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302"/>
        <w:gridCol w:w="2539"/>
        <w:gridCol w:w="2800"/>
        <w:gridCol w:w="2025"/>
      </w:tblGrid>
      <w:tr w14:paraId="48D3ECEF">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blHeader/>
        </w:trPr>
        <w:tc>
          <w:tcPr>
            <w:tcW w:w="1302" w:type="dxa"/>
            <w:tcBorders>
              <w:top w:val="nil"/>
              <w:left w:val="nil"/>
              <w:bottom w:val="single" w:color="000000" w:sz="4" w:space="0"/>
              <w:right w:val="single" w:color="000000" w:sz="4" w:space="0"/>
            </w:tcBorders>
            <w:shd w:val="clear" w:color="auto" w:fill="F2F2F2"/>
            <w:tcMar>
              <w:top w:w="120" w:type="dxa"/>
              <w:left w:w="180" w:type="dxa"/>
              <w:bottom w:w="120" w:type="dxa"/>
              <w:right w:w="180" w:type="dxa"/>
            </w:tcMar>
            <w:vAlign w:val="center"/>
          </w:tcPr>
          <w:p w14:paraId="2EA9DFF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ascii="宋体" w:hAnsi="宋体" w:eastAsia="宋体" w:cs="宋体"/>
                <w:b w:val="0"/>
                <w:bCs w:val="0"/>
                <w:color w:val="000000"/>
                <w:kern w:val="0"/>
                <w:sz w:val="24"/>
                <w:szCs w:val="16"/>
                <w:lang w:val="en-US" w:eastAsia="zh-CN" w:bidi="ar"/>
              </w:rPr>
            </w:pPr>
            <w:r>
              <w:rPr>
                <w:rFonts w:hint="default" w:ascii="宋体" w:hAnsi="宋体" w:eastAsia="宋体" w:cs="宋体"/>
                <w:b w:val="0"/>
                <w:bCs w:val="0"/>
                <w:kern w:val="0"/>
                <w:sz w:val="24"/>
                <w:szCs w:val="16"/>
                <w:lang w:val="en-US" w:eastAsia="zh-CN" w:bidi="ar"/>
              </w:rPr>
              <w:t>硬件模块</w:t>
            </w:r>
          </w:p>
        </w:tc>
        <w:tc>
          <w:tcPr>
            <w:tcW w:w="2539" w:type="dxa"/>
            <w:tcBorders>
              <w:top w:val="nil"/>
              <w:left w:val="single" w:color="000000" w:sz="4" w:space="0"/>
              <w:bottom w:val="single" w:color="000000" w:sz="4" w:space="0"/>
              <w:right w:val="single" w:color="000000" w:sz="4" w:space="0"/>
            </w:tcBorders>
            <w:shd w:val="clear" w:color="auto" w:fill="F2F2F2"/>
            <w:tcMar>
              <w:top w:w="120" w:type="dxa"/>
              <w:left w:w="180" w:type="dxa"/>
              <w:bottom w:w="120" w:type="dxa"/>
              <w:right w:w="180" w:type="dxa"/>
            </w:tcMar>
            <w:vAlign w:val="center"/>
          </w:tcPr>
          <w:p w14:paraId="74F5778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kern w:val="0"/>
                <w:sz w:val="24"/>
                <w:szCs w:val="16"/>
                <w:lang w:val="en-US" w:eastAsia="zh-CN" w:bidi="ar"/>
              </w:rPr>
              <w:t>型号 / 规格</w:t>
            </w:r>
          </w:p>
        </w:tc>
        <w:tc>
          <w:tcPr>
            <w:tcW w:w="2800" w:type="dxa"/>
            <w:tcBorders>
              <w:top w:val="nil"/>
              <w:left w:val="single" w:color="000000" w:sz="4" w:space="0"/>
              <w:bottom w:val="single" w:color="000000" w:sz="4" w:space="0"/>
              <w:right w:val="single" w:color="000000" w:sz="4" w:space="0"/>
            </w:tcBorders>
            <w:shd w:val="clear" w:color="auto" w:fill="F2F2F2"/>
            <w:tcMar>
              <w:top w:w="120" w:type="dxa"/>
              <w:left w:w="180" w:type="dxa"/>
              <w:bottom w:w="120" w:type="dxa"/>
              <w:right w:w="180" w:type="dxa"/>
            </w:tcMar>
            <w:vAlign w:val="center"/>
          </w:tcPr>
          <w:p w14:paraId="4A4A2AC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kern w:val="0"/>
                <w:sz w:val="24"/>
                <w:szCs w:val="16"/>
                <w:lang w:val="en-US" w:eastAsia="zh-CN" w:bidi="ar"/>
              </w:rPr>
              <w:t>核心参数</w:t>
            </w:r>
          </w:p>
        </w:tc>
        <w:tc>
          <w:tcPr>
            <w:tcW w:w="2025" w:type="dxa"/>
            <w:tcBorders>
              <w:top w:val="nil"/>
              <w:left w:val="single" w:color="000000" w:sz="4" w:space="0"/>
              <w:bottom w:val="single" w:color="000000" w:sz="4" w:space="0"/>
              <w:right w:val="nil"/>
            </w:tcBorders>
            <w:shd w:val="clear" w:color="auto" w:fill="F2F2F2"/>
            <w:tcMar>
              <w:top w:w="120" w:type="dxa"/>
              <w:left w:w="180" w:type="dxa"/>
              <w:bottom w:w="120" w:type="dxa"/>
              <w:right w:w="180" w:type="dxa"/>
            </w:tcMar>
            <w:vAlign w:val="center"/>
          </w:tcPr>
          <w:p w14:paraId="743BBC5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kern w:val="0"/>
                <w:sz w:val="24"/>
                <w:szCs w:val="16"/>
                <w:lang w:val="en-US" w:eastAsia="zh-CN" w:bidi="ar"/>
              </w:rPr>
              <w:t>用途</w:t>
            </w:r>
          </w:p>
        </w:tc>
      </w:tr>
      <w:tr w14:paraId="3369E0B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302" w:type="dxa"/>
            <w:tcBorders>
              <w:top w:val="single" w:color="000000" w:sz="4" w:space="0"/>
              <w:left w:val="nil"/>
              <w:bottom w:val="single" w:color="000000" w:sz="4" w:space="0"/>
              <w:right w:val="single" w:color="000000" w:sz="4" w:space="0"/>
            </w:tcBorders>
            <w:shd w:val="clear" w:color="auto" w:fill="FFFFFF"/>
            <w:tcMar>
              <w:top w:w="120" w:type="dxa"/>
              <w:left w:w="180" w:type="dxa"/>
              <w:bottom w:w="120" w:type="dxa"/>
              <w:right w:w="180" w:type="dxa"/>
            </w:tcMar>
            <w:vAlign w:val="center"/>
          </w:tcPr>
          <w:p w14:paraId="4169BD7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kern w:val="0"/>
                <w:sz w:val="24"/>
                <w:szCs w:val="16"/>
                <w:lang w:val="en-US" w:eastAsia="zh-CN" w:bidi="ar"/>
              </w:rPr>
              <w:t>主控制单元</w:t>
            </w:r>
          </w:p>
        </w:tc>
        <w:tc>
          <w:tcPr>
            <w:tcW w:w="2539"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0B356C3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kern w:val="0"/>
                <w:sz w:val="24"/>
                <w:szCs w:val="16"/>
                <w:lang w:val="en-US" w:eastAsia="zh-CN" w:bidi="ar"/>
              </w:rPr>
              <w:t>信捷 XDH-60T4-E</w:t>
            </w:r>
          </w:p>
        </w:tc>
        <w:tc>
          <w:tcPr>
            <w:tcW w:w="2800"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24F2C8F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kern w:val="0"/>
                <w:sz w:val="24"/>
                <w:szCs w:val="16"/>
                <w:lang w:val="en-US" w:eastAsia="zh-CN" w:bidi="ar"/>
              </w:rPr>
              <w:t>EtherCAT 总线，60 点 IO，支持多轴协同</w:t>
            </w:r>
          </w:p>
        </w:tc>
        <w:tc>
          <w:tcPr>
            <w:tcW w:w="2025" w:type="dxa"/>
            <w:tcBorders>
              <w:top w:val="single" w:color="000000" w:sz="4" w:space="0"/>
              <w:left w:val="single" w:color="000000" w:sz="4" w:space="0"/>
              <w:bottom w:val="single" w:color="000000" w:sz="4" w:space="0"/>
              <w:right w:val="nil"/>
            </w:tcBorders>
            <w:shd w:val="clear" w:color="auto" w:fill="FFFFFF"/>
            <w:tcMar>
              <w:top w:w="120" w:type="dxa"/>
              <w:left w:w="180" w:type="dxa"/>
              <w:bottom w:w="120" w:type="dxa"/>
              <w:right w:w="180" w:type="dxa"/>
            </w:tcMar>
            <w:vAlign w:val="center"/>
          </w:tcPr>
          <w:p w14:paraId="5D433D0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kern w:val="0"/>
                <w:sz w:val="24"/>
                <w:szCs w:val="16"/>
                <w:lang w:val="en-US" w:eastAsia="zh-CN" w:bidi="ar"/>
              </w:rPr>
              <w:t>制口罩部分核心控制，IO 点位管理</w:t>
            </w:r>
          </w:p>
        </w:tc>
      </w:tr>
      <w:tr w14:paraId="60E285F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302" w:type="dxa"/>
            <w:tcBorders>
              <w:top w:val="single" w:color="000000" w:sz="4" w:space="0"/>
              <w:left w:val="nil"/>
              <w:bottom w:val="single" w:color="000000" w:sz="4" w:space="0"/>
              <w:right w:val="single" w:color="000000" w:sz="4" w:space="0"/>
            </w:tcBorders>
            <w:shd w:val="clear" w:color="auto" w:fill="FFFFFF"/>
            <w:tcMar>
              <w:top w:w="120" w:type="dxa"/>
              <w:left w:w="180" w:type="dxa"/>
              <w:bottom w:w="120" w:type="dxa"/>
              <w:right w:w="180" w:type="dxa"/>
            </w:tcMar>
            <w:vAlign w:val="center"/>
          </w:tcPr>
          <w:p w14:paraId="1EEEF8B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kern w:val="0"/>
                <w:sz w:val="24"/>
                <w:szCs w:val="16"/>
                <w:lang w:val="en-US" w:eastAsia="zh-CN" w:bidi="ar"/>
              </w:rPr>
              <w:t>从控制单元</w:t>
            </w:r>
          </w:p>
        </w:tc>
        <w:tc>
          <w:tcPr>
            <w:tcW w:w="2539"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2147560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kern w:val="0"/>
                <w:sz w:val="24"/>
                <w:szCs w:val="16"/>
                <w:lang w:val="en-US" w:eastAsia="zh-CN" w:bidi="ar"/>
              </w:rPr>
              <w:t>西门子 SMART200 ST40</w:t>
            </w:r>
          </w:p>
        </w:tc>
        <w:tc>
          <w:tcPr>
            <w:tcW w:w="2800"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21D73F1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kern w:val="0"/>
                <w:sz w:val="24"/>
                <w:szCs w:val="16"/>
                <w:lang w:val="en-US" w:eastAsia="zh-CN" w:bidi="ar"/>
              </w:rPr>
              <w:t>4AI 2AQ，支持 S7 通讯</w:t>
            </w:r>
          </w:p>
        </w:tc>
        <w:tc>
          <w:tcPr>
            <w:tcW w:w="2025" w:type="dxa"/>
            <w:tcBorders>
              <w:top w:val="single" w:color="000000" w:sz="4" w:space="0"/>
              <w:left w:val="single" w:color="000000" w:sz="4" w:space="0"/>
              <w:bottom w:val="single" w:color="000000" w:sz="4" w:space="0"/>
              <w:right w:val="nil"/>
            </w:tcBorders>
            <w:shd w:val="clear" w:color="auto" w:fill="FFFFFF"/>
            <w:tcMar>
              <w:top w:w="120" w:type="dxa"/>
              <w:left w:w="180" w:type="dxa"/>
              <w:bottom w:w="120" w:type="dxa"/>
              <w:right w:w="180" w:type="dxa"/>
            </w:tcMar>
            <w:vAlign w:val="center"/>
          </w:tcPr>
          <w:p w14:paraId="740FF25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kern w:val="0"/>
                <w:sz w:val="24"/>
                <w:szCs w:val="16"/>
                <w:lang w:val="en-US" w:eastAsia="zh-CN" w:bidi="ar"/>
              </w:rPr>
              <w:t>五轴移载搬运控制，模拟量采集</w:t>
            </w:r>
          </w:p>
        </w:tc>
      </w:tr>
      <w:tr w14:paraId="065D3D3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302" w:type="dxa"/>
            <w:tcBorders>
              <w:top w:val="single" w:color="000000" w:sz="4" w:space="0"/>
              <w:left w:val="nil"/>
              <w:bottom w:val="single" w:color="000000" w:sz="4" w:space="0"/>
              <w:right w:val="single" w:color="000000" w:sz="4" w:space="0"/>
            </w:tcBorders>
            <w:shd w:val="clear" w:color="auto" w:fill="FFFFFF"/>
            <w:tcMar>
              <w:top w:w="120" w:type="dxa"/>
              <w:left w:w="180" w:type="dxa"/>
              <w:bottom w:w="120" w:type="dxa"/>
              <w:right w:w="180" w:type="dxa"/>
            </w:tcMar>
            <w:vAlign w:val="center"/>
          </w:tcPr>
          <w:p w14:paraId="242AA6D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kern w:val="0"/>
                <w:sz w:val="24"/>
                <w:szCs w:val="16"/>
                <w:lang w:val="en-US" w:eastAsia="zh-CN" w:bidi="ar"/>
              </w:rPr>
              <w:t>从控制单元</w:t>
            </w:r>
          </w:p>
        </w:tc>
        <w:tc>
          <w:tcPr>
            <w:tcW w:w="2539"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668558D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kern w:val="0"/>
                <w:sz w:val="24"/>
                <w:szCs w:val="16"/>
                <w:lang w:val="en-US" w:eastAsia="zh-CN" w:bidi="ar"/>
              </w:rPr>
              <w:t>西门子 1214C</w:t>
            </w:r>
          </w:p>
        </w:tc>
        <w:tc>
          <w:tcPr>
            <w:tcW w:w="2800"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70D35BF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kern w:val="0"/>
                <w:sz w:val="24"/>
                <w:szCs w:val="16"/>
                <w:lang w:val="en-US" w:eastAsia="zh-CN" w:bidi="ar"/>
              </w:rPr>
              <w:t>PN 总线，支持 FB284 功能块</w:t>
            </w:r>
          </w:p>
        </w:tc>
        <w:tc>
          <w:tcPr>
            <w:tcW w:w="2025" w:type="dxa"/>
            <w:tcBorders>
              <w:top w:val="single" w:color="000000" w:sz="4" w:space="0"/>
              <w:left w:val="single" w:color="000000" w:sz="4" w:space="0"/>
              <w:bottom w:val="single" w:color="000000" w:sz="4" w:space="0"/>
              <w:right w:val="nil"/>
            </w:tcBorders>
            <w:shd w:val="clear" w:color="auto" w:fill="FFFFFF"/>
            <w:tcMar>
              <w:top w:w="120" w:type="dxa"/>
              <w:left w:w="180" w:type="dxa"/>
              <w:bottom w:w="120" w:type="dxa"/>
              <w:right w:w="180" w:type="dxa"/>
            </w:tcMar>
            <w:vAlign w:val="center"/>
          </w:tcPr>
          <w:p w14:paraId="44A8626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kern w:val="0"/>
                <w:sz w:val="24"/>
                <w:szCs w:val="16"/>
                <w:lang w:val="en-US" w:eastAsia="zh-CN" w:bidi="ar"/>
              </w:rPr>
              <w:t>V90 伺服控制，工艺轴组态</w:t>
            </w:r>
          </w:p>
        </w:tc>
      </w:tr>
      <w:tr w14:paraId="129D216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302" w:type="dxa"/>
            <w:tcBorders>
              <w:top w:val="single" w:color="000000" w:sz="4" w:space="0"/>
              <w:left w:val="nil"/>
              <w:bottom w:val="single" w:color="000000" w:sz="4" w:space="0"/>
              <w:right w:val="single" w:color="000000" w:sz="4" w:space="0"/>
            </w:tcBorders>
            <w:shd w:val="clear" w:color="auto" w:fill="FFFFFF"/>
            <w:tcMar>
              <w:top w:w="120" w:type="dxa"/>
              <w:left w:w="180" w:type="dxa"/>
              <w:bottom w:w="120" w:type="dxa"/>
              <w:right w:w="180" w:type="dxa"/>
            </w:tcMar>
            <w:vAlign w:val="center"/>
          </w:tcPr>
          <w:p w14:paraId="0F99EB6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kern w:val="0"/>
                <w:sz w:val="24"/>
                <w:szCs w:val="16"/>
                <w:lang w:val="en-US" w:eastAsia="zh-CN" w:bidi="ar"/>
              </w:rPr>
              <w:t>伺服驱动器</w:t>
            </w:r>
          </w:p>
        </w:tc>
        <w:tc>
          <w:tcPr>
            <w:tcW w:w="2539"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58ACCE5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kern w:val="0"/>
                <w:sz w:val="24"/>
                <w:szCs w:val="16"/>
                <w:lang w:val="en-US" w:eastAsia="zh-CN" w:bidi="ar"/>
              </w:rPr>
              <w:t>DS5C 系列</w:t>
            </w:r>
          </w:p>
        </w:tc>
        <w:tc>
          <w:tcPr>
            <w:tcW w:w="2800"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022975B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kern w:val="0"/>
                <w:sz w:val="24"/>
                <w:szCs w:val="16"/>
                <w:lang w:val="en-US" w:eastAsia="zh-CN" w:bidi="ar"/>
              </w:rPr>
              <w:t>EtherCAT 总线，功率 0.4-0.75KW</w:t>
            </w:r>
          </w:p>
        </w:tc>
        <w:tc>
          <w:tcPr>
            <w:tcW w:w="2025" w:type="dxa"/>
            <w:tcBorders>
              <w:top w:val="single" w:color="000000" w:sz="4" w:space="0"/>
              <w:left w:val="single" w:color="000000" w:sz="4" w:space="0"/>
              <w:bottom w:val="single" w:color="000000" w:sz="4" w:space="0"/>
              <w:right w:val="nil"/>
            </w:tcBorders>
            <w:shd w:val="clear" w:color="auto" w:fill="FFFFFF"/>
            <w:tcMar>
              <w:top w:w="120" w:type="dxa"/>
              <w:left w:w="180" w:type="dxa"/>
              <w:bottom w:w="120" w:type="dxa"/>
              <w:right w:w="180" w:type="dxa"/>
            </w:tcMar>
            <w:vAlign w:val="center"/>
          </w:tcPr>
          <w:p w14:paraId="0B92042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kern w:val="0"/>
                <w:sz w:val="24"/>
                <w:szCs w:val="16"/>
                <w:lang w:val="en-US" w:eastAsia="zh-CN" w:bidi="ar"/>
              </w:rPr>
              <w:t>驱动伺服电机，实现精准定位</w:t>
            </w:r>
          </w:p>
        </w:tc>
      </w:tr>
      <w:tr w14:paraId="3BC99FE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302" w:type="dxa"/>
            <w:tcBorders>
              <w:top w:val="single" w:color="000000" w:sz="4" w:space="0"/>
              <w:left w:val="nil"/>
              <w:bottom w:val="single" w:color="000000" w:sz="4" w:space="0"/>
              <w:right w:val="single" w:color="000000" w:sz="4" w:space="0"/>
            </w:tcBorders>
            <w:shd w:val="clear" w:color="auto" w:fill="FFFFFF"/>
            <w:tcMar>
              <w:top w:w="120" w:type="dxa"/>
              <w:left w:w="180" w:type="dxa"/>
              <w:bottom w:w="120" w:type="dxa"/>
              <w:right w:w="180" w:type="dxa"/>
            </w:tcMar>
            <w:vAlign w:val="center"/>
          </w:tcPr>
          <w:p w14:paraId="536296B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kern w:val="0"/>
                <w:sz w:val="24"/>
                <w:szCs w:val="16"/>
                <w:lang w:val="en-US" w:eastAsia="zh-CN" w:bidi="ar"/>
              </w:rPr>
              <w:t>伺服电机</w:t>
            </w:r>
          </w:p>
        </w:tc>
        <w:tc>
          <w:tcPr>
            <w:tcW w:w="2539"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27EBDA2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kern w:val="0"/>
                <w:sz w:val="24"/>
                <w:szCs w:val="16"/>
                <w:lang w:val="en-US" w:eastAsia="zh-CN" w:bidi="ar"/>
              </w:rPr>
              <w:t>配套伺服驱动器</w:t>
            </w:r>
          </w:p>
        </w:tc>
        <w:tc>
          <w:tcPr>
            <w:tcW w:w="2800"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63AFD76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kern w:val="0"/>
                <w:sz w:val="24"/>
                <w:szCs w:val="16"/>
                <w:lang w:val="en-US" w:eastAsia="zh-CN" w:bidi="ar"/>
              </w:rPr>
              <w:t>转速 1500rpm，编码器分辨率 17 位</w:t>
            </w:r>
          </w:p>
        </w:tc>
        <w:tc>
          <w:tcPr>
            <w:tcW w:w="2025" w:type="dxa"/>
            <w:tcBorders>
              <w:top w:val="single" w:color="000000" w:sz="4" w:space="0"/>
              <w:left w:val="single" w:color="000000" w:sz="4" w:space="0"/>
              <w:bottom w:val="single" w:color="000000" w:sz="4" w:space="0"/>
              <w:right w:val="nil"/>
            </w:tcBorders>
            <w:shd w:val="clear" w:color="auto" w:fill="FFFFFF"/>
            <w:tcMar>
              <w:top w:w="120" w:type="dxa"/>
              <w:left w:w="180" w:type="dxa"/>
              <w:bottom w:w="120" w:type="dxa"/>
              <w:right w:w="180" w:type="dxa"/>
            </w:tcMar>
            <w:vAlign w:val="center"/>
          </w:tcPr>
          <w:p w14:paraId="4049599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kern w:val="0"/>
                <w:sz w:val="24"/>
                <w:szCs w:val="16"/>
                <w:lang w:val="en-US" w:eastAsia="zh-CN" w:bidi="ar"/>
              </w:rPr>
              <w:t>拉布、封边、焊耳等工序动力输出</w:t>
            </w:r>
          </w:p>
        </w:tc>
      </w:tr>
      <w:tr w14:paraId="0033E2D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302" w:type="dxa"/>
            <w:tcBorders>
              <w:top w:val="single" w:color="000000" w:sz="4" w:space="0"/>
              <w:left w:val="nil"/>
              <w:bottom w:val="single" w:color="000000" w:sz="4" w:space="0"/>
              <w:right w:val="single" w:color="000000" w:sz="4" w:space="0"/>
            </w:tcBorders>
            <w:shd w:val="clear" w:color="auto" w:fill="FFFFFF"/>
            <w:tcMar>
              <w:top w:w="120" w:type="dxa"/>
              <w:left w:w="180" w:type="dxa"/>
              <w:bottom w:w="120" w:type="dxa"/>
              <w:right w:w="180" w:type="dxa"/>
            </w:tcMar>
            <w:vAlign w:val="center"/>
          </w:tcPr>
          <w:p w14:paraId="09F6D35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kern w:val="0"/>
                <w:sz w:val="24"/>
                <w:szCs w:val="16"/>
                <w:lang w:val="en-US" w:eastAsia="zh-CN" w:bidi="ar"/>
              </w:rPr>
              <w:t>触摸屏</w:t>
            </w:r>
          </w:p>
        </w:tc>
        <w:tc>
          <w:tcPr>
            <w:tcW w:w="2539"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06B244D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kern w:val="0"/>
                <w:sz w:val="24"/>
                <w:szCs w:val="16"/>
                <w:lang w:val="en-US" w:eastAsia="zh-CN" w:bidi="ar"/>
              </w:rPr>
              <w:t>TG765S-XT/MT807IP</w:t>
            </w:r>
          </w:p>
        </w:tc>
        <w:tc>
          <w:tcPr>
            <w:tcW w:w="2800"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3918597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kern w:val="0"/>
                <w:sz w:val="24"/>
                <w:szCs w:val="16"/>
                <w:lang w:val="en-US" w:eastAsia="zh-CN" w:bidi="ar"/>
              </w:rPr>
              <w:t>7 寸彩色屏，分辨率 800×480</w:t>
            </w:r>
          </w:p>
        </w:tc>
        <w:tc>
          <w:tcPr>
            <w:tcW w:w="2025" w:type="dxa"/>
            <w:tcBorders>
              <w:top w:val="single" w:color="000000" w:sz="4" w:space="0"/>
              <w:left w:val="single" w:color="000000" w:sz="4" w:space="0"/>
              <w:bottom w:val="single" w:color="000000" w:sz="4" w:space="0"/>
              <w:right w:val="nil"/>
            </w:tcBorders>
            <w:shd w:val="clear" w:color="auto" w:fill="FFFFFF"/>
            <w:tcMar>
              <w:top w:w="120" w:type="dxa"/>
              <w:left w:w="180" w:type="dxa"/>
              <w:bottom w:w="120" w:type="dxa"/>
              <w:right w:w="180" w:type="dxa"/>
            </w:tcMar>
            <w:vAlign w:val="center"/>
          </w:tcPr>
          <w:p w14:paraId="6C9C84B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kern w:val="0"/>
                <w:sz w:val="24"/>
                <w:szCs w:val="16"/>
                <w:lang w:val="en-US" w:eastAsia="zh-CN" w:bidi="ar"/>
              </w:rPr>
              <w:t>参数设置、状态监控、故障报警</w:t>
            </w:r>
          </w:p>
        </w:tc>
      </w:tr>
      <w:tr w14:paraId="30AC305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302" w:type="dxa"/>
            <w:tcBorders>
              <w:top w:val="single" w:color="000000" w:sz="4" w:space="0"/>
              <w:left w:val="nil"/>
              <w:bottom w:val="single" w:color="000000" w:sz="4" w:space="0"/>
              <w:right w:val="single" w:color="000000" w:sz="4" w:space="0"/>
            </w:tcBorders>
            <w:shd w:val="clear" w:color="auto" w:fill="FFFFFF"/>
            <w:tcMar>
              <w:top w:w="120" w:type="dxa"/>
              <w:left w:w="180" w:type="dxa"/>
              <w:bottom w:w="120" w:type="dxa"/>
              <w:right w:w="180" w:type="dxa"/>
            </w:tcMar>
            <w:vAlign w:val="center"/>
          </w:tcPr>
          <w:p w14:paraId="6B87551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kern w:val="0"/>
                <w:sz w:val="24"/>
                <w:szCs w:val="16"/>
                <w:lang w:val="en-US" w:eastAsia="zh-CN" w:bidi="ar"/>
              </w:rPr>
              <w:t>传感器</w:t>
            </w:r>
          </w:p>
        </w:tc>
        <w:tc>
          <w:tcPr>
            <w:tcW w:w="2539"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0CD0AA0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kern w:val="0"/>
                <w:sz w:val="24"/>
                <w:szCs w:val="16"/>
                <w:lang w:val="en-US" w:eastAsia="zh-CN" w:bidi="ar"/>
              </w:rPr>
              <w:t>光电开关、色标传感器、限位开关</w:t>
            </w:r>
          </w:p>
        </w:tc>
        <w:tc>
          <w:tcPr>
            <w:tcW w:w="2800"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5E3537E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kern w:val="0"/>
                <w:sz w:val="24"/>
                <w:szCs w:val="16"/>
                <w:lang w:val="en-US" w:eastAsia="zh-CN" w:bidi="ar"/>
              </w:rPr>
              <w:t>NPN 型，响应时间≤1ms</w:t>
            </w:r>
          </w:p>
        </w:tc>
        <w:tc>
          <w:tcPr>
            <w:tcW w:w="2025" w:type="dxa"/>
            <w:tcBorders>
              <w:top w:val="single" w:color="000000" w:sz="4" w:space="0"/>
              <w:left w:val="single" w:color="000000" w:sz="4" w:space="0"/>
              <w:bottom w:val="single" w:color="000000" w:sz="4" w:space="0"/>
              <w:right w:val="nil"/>
            </w:tcBorders>
            <w:shd w:val="clear" w:color="auto" w:fill="FFFFFF"/>
            <w:tcMar>
              <w:top w:w="120" w:type="dxa"/>
              <w:left w:w="180" w:type="dxa"/>
              <w:bottom w:w="120" w:type="dxa"/>
              <w:right w:w="180" w:type="dxa"/>
            </w:tcMar>
            <w:vAlign w:val="center"/>
          </w:tcPr>
          <w:p w14:paraId="6EA3F56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kern w:val="0"/>
                <w:sz w:val="24"/>
                <w:szCs w:val="16"/>
                <w:lang w:val="en-US" w:eastAsia="zh-CN" w:bidi="ar"/>
              </w:rPr>
              <w:t>缺料检测、色标定位、限位保护</w:t>
            </w:r>
          </w:p>
        </w:tc>
      </w:tr>
      <w:tr w14:paraId="2944F74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302" w:type="dxa"/>
            <w:tcBorders>
              <w:top w:val="single" w:color="000000" w:sz="4" w:space="0"/>
              <w:left w:val="nil"/>
              <w:bottom w:val="nil"/>
              <w:right w:val="single" w:color="000000" w:sz="4" w:space="0"/>
            </w:tcBorders>
            <w:shd w:val="clear" w:color="auto" w:fill="FFFFFF"/>
            <w:tcMar>
              <w:top w:w="120" w:type="dxa"/>
              <w:left w:w="180" w:type="dxa"/>
              <w:bottom w:w="120" w:type="dxa"/>
              <w:right w:w="180" w:type="dxa"/>
            </w:tcMar>
            <w:vAlign w:val="center"/>
          </w:tcPr>
          <w:p w14:paraId="1DF61BF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kern w:val="0"/>
                <w:sz w:val="24"/>
                <w:szCs w:val="16"/>
                <w:lang w:val="en-US" w:eastAsia="zh-CN" w:bidi="ar"/>
              </w:rPr>
              <w:t>气缸</w:t>
            </w:r>
          </w:p>
        </w:tc>
        <w:tc>
          <w:tcPr>
            <w:tcW w:w="2539" w:type="dxa"/>
            <w:tcBorders>
              <w:top w:val="single" w:color="000000" w:sz="4" w:space="0"/>
              <w:left w:val="single" w:color="000000" w:sz="4" w:space="0"/>
              <w:bottom w:val="nil"/>
              <w:right w:val="single" w:color="000000" w:sz="4" w:space="0"/>
            </w:tcBorders>
            <w:shd w:val="clear" w:color="auto" w:fill="FFFFFF"/>
            <w:tcMar>
              <w:top w:w="120" w:type="dxa"/>
              <w:left w:w="180" w:type="dxa"/>
              <w:bottom w:w="120" w:type="dxa"/>
              <w:right w:w="180" w:type="dxa"/>
            </w:tcMar>
            <w:vAlign w:val="center"/>
          </w:tcPr>
          <w:p w14:paraId="179B901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kern w:val="0"/>
                <w:sz w:val="24"/>
                <w:szCs w:val="16"/>
                <w:lang w:val="en-US" w:eastAsia="zh-CN" w:bidi="ar"/>
              </w:rPr>
              <w:t>标准气缸</w:t>
            </w:r>
          </w:p>
        </w:tc>
        <w:tc>
          <w:tcPr>
            <w:tcW w:w="2800" w:type="dxa"/>
            <w:tcBorders>
              <w:top w:val="single" w:color="000000" w:sz="4" w:space="0"/>
              <w:left w:val="single" w:color="000000" w:sz="4" w:space="0"/>
              <w:bottom w:val="nil"/>
              <w:right w:val="single" w:color="000000" w:sz="4" w:space="0"/>
            </w:tcBorders>
            <w:shd w:val="clear" w:color="auto" w:fill="FFFFFF"/>
            <w:tcMar>
              <w:top w:w="120" w:type="dxa"/>
              <w:left w:w="180" w:type="dxa"/>
              <w:bottom w:w="120" w:type="dxa"/>
              <w:right w:w="180" w:type="dxa"/>
            </w:tcMar>
            <w:vAlign w:val="center"/>
          </w:tcPr>
          <w:p w14:paraId="61643AE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kern w:val="0"/>
                <w:sz w:val="24"/>
                <w:szCs w:val="16"/>
                <w:lang w:val="en-US" w:eastAsia="zh-CN" w:bidi="ar"/>
              </w:rPr>
              <w:t>行程 10-50mm，工作压力 0.5-0.7Mpa</w:t>
            </w:r>
          </w:p>
        </w:tc>
        <w:tc>
          <w:tcPr>
            <w:tcW w:w="2025" w:type="dxa"/>
            <w:tcBorders>
              <w:top w:val="single" w:color="000000" w:sz="4" w:space="0"/>
              <w:left w:val="single" w:color="000000" w:sz="4" w:space="0"/>
              <w:bottom w:val="nil"/>
              <w:right w:val="nil"/>
            </w:tcBorders>
            <w:shd w:val="clear" w:color="auto" w:fill="FFFFFF"/>
            <w:tcMar>
              <w:top w:w="120" w:type="dxa"/>
              <w:left w:w="180" w:type="dxa"/>
              <w:bottom w:w="120" w:type="dxa"/>
              <w:right w:w="180" w:type="dxa"/>
            </w:tcMar>
            <w:vAlign w:val="center"/>
          </w:tcPr>
          <w:p w14:paraId="2297F51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kern w:val="0"/>
                <w:sz w:val="24"/>
                <w:szCs w:val="16"/>
                <w:lang w:val="en-US" w:eastAsia="zh-CN" w:bidi="ar"/>
              </w:rPr>
              <w:t>切鼻梁条、剪耳带等动作执行</w:t>
            </w:r>
          </w:p>
        </w:tc>
      </w:tr>
    </w:tbl>
    <w:p w14:paraId="4F905CC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eastAsia" w:ascii="Segoe UI" w:hAnsi="Segoe UI" w:eastAsia="黑体" w:cs="Segoe UI"/>
          <w:b w:val="0"/>
          <w:bCs w:val="0"/>
          <w:i w:val="0"/>
          <w:iCs w:val="0"/>
          <w:caps w:val="0"/>
          <w:color w:val="000000"/>
          <w:spacing w:val="0"/>
          <w:sz w:val="28"/>
          <w:szCs w:val="18"/>
          <w:lang w:eastAsia="zh-CN"/>
        </w:rPr>
      </w:pPr>
      <w:r>
        <w:rPr>
          <w:rFonts w:hint="eastAsia" w:ascii="宋体" w:hAnsi="宋体" w:eastAsia="宋体" w:cs="宋体"/>
          <w:b w:val="0"/>
          <w:bCs w:val="0"/>
          <w:kern w:val="0"/>
          <w:sz w:val="24"/>
          <w:szCs w:val="16"/>
          <w:lang w:val="en-US" w:eastAsia="zh-CN" w:bidi="ar"/>
        </w:rPr>
        <w:t>表</w:t>
      </w:r>
      <w:r>
        <w:rPr>
          <w:rFonts w:hint="eastAsia" w:ascii="宋体" w:hAnsi="宋体" w:cs="宋体"/>
          <w:b w:val="0"/>
          <w:bCs w:val="0"/>
          <w:kern w:val="0"/>
          <w:sz w:val="24"/>
          <w:szCs w:val="16"/>
          <w:lang w:val="en-US" w:eastAsia="zh-CN" w:bidi="ar"/>
        </w:rPr>
        <w:t>3</w:t>
      </w:r>
      <w:r>
        <w:rPr>
          <w:rFonts w:hint="eastAsia" w:ascii="宋体" w:hAnsi="宋体" w:eastAsia="宋体" w:cs="宋体"/>
          <w:b w:val="0"/>
          <w:bCs w:val="0"/>
          <w:kern w:val="0"/>
          <w:sz w:val="24"/>
          <w:szCs w:val="16"/>
          <w:lang w:val="en-US" w:eastAsia="zh-CN" w:bidi="ar"/>
        </w:rPr>
        <w:t>.</w:t>
      </w:r>
      <w:r>
        <w:rPr>
          <w:rFonts w:hint="eastAsia" w:ascii="宋体" w:hAnsi="宋体" w:cs="宋体"/>
          <w:b w:val="0"/>
          <w:bCs w:val="0"/>
          <w:kern w:val="0"/>
          <w:sz w:val="24"/>
          <w:szCs w:val="16"/>
          <w:lang w:val="en-US" w:eastAsia="zh-CN" w:bidi="ar"/>
        </w:rPr>
        <w:t>1</w:t>
      </w:r>
      <w:r>
        <w:rPr>
          <w:rFonts w:hint="eastAsia" w:ascii="宋体" w:hAnsi="宋体" w:eastAsia="宋体" w:cs="宋体"/>
          <w:b w:val="0"/>
          <w:bCs w:val="0"/>
          <w:kern w:val="0"/>
          <w:sz w:val="24"/>
          <w:szCs w:val="16"/>
          <w:lang w:val="en-US" w:eastAsia="zh-CN" w:bidi="ar"/>
        </w:rPr>
        <w:t xml:space="preserve"> 核心</w:t>
      </w:r>
      <w:r>
        <w:rPr>
          <w:rFonts w:hint="default" w:ascii="宋体" w:hAnsi="宋体" w:eastAsia="宋体" w:cs="宋体"/>
          <w:b w:val="0"/>
          <w:bCs w:val="0"/>
          <w:kern w:val="0"/>
          <w:sz w:val="24"/>
          <w:szCs w:val="16"/>
          <w:lang w:val="en-US" w:eastAsia="zh-CN" w:bidi="ar"/>
        </w:rPr>
        <w:t>硬件</w:t>
      </w:r>
      <w:r>
        <w:rPr>
          <w:rFonts w:hint="eastAsia" w:ascii="宋体" w:hAnsi="宋体" w:eastAsia="宋体" w:cs="宋体"/>
          <w:b w:val="0"/>
          <w:bCs w:val="0"/>
          <w:kern w:val="0"/>
          <w:sz w:val="24"/>
          <w:szCs w:val="16"/>
          <w:lang w:val="en-US" w:eastAsia="zh-CN" w:bidi="ar"/>
        </w:rPr>
        <w:t>选型</w:t>
      </w:r>
    </w:p>
    <w:p w14:paraId="0C4C66E8">
      <w:pPr>
        <w:pStyle w:val="3"/>
        <w:numPr>
          <w:ilvl w:val="0"/>
          <w:numId w:val="12"/>
        </w:numPr>
        <w:bidi w:val="0"/>
        <w:ind w:left="0" w:leftChars="0" w:firstLine="0" w:firstLineChars="0"/>
        <w:rPr>
          <w:rFonts w:hint="default"/>
          <w:lang w:val="en-US" w:eastAsia="zh-CN"/>
        </w:rPr>
      </w:pPr>
      <w:bookmarkStart w:id="24" w:name="_Toc1520"/>
      <w:r>
        <w:rPr>
          <w:rFonts w:hint="default"/>
          <w:lang w:val="en-US" w:eastAsia="zh-CN"/>
        </w:rPr>
        <w:t>核心技术方案</w:t>
      </w:r>
      <w:bookmarkEnd w:id="24"/>
    </w:p>
    <w:p w14:paraId="5E821418">
      <w:pPr>
        <w:pStyle w:val="4"/>
        <w:numPr>
          <w:ilvl w:val="0"/>
          <w:numId w:val="14"/>
        </w:numPr>
        <w:bidi w:val="0"/>
        <w:ind w:left="0" w:leftChars="0" w:firstLine="0" w:firstLineChars="0"/>
        <w:rPr>
          <w:rFonts w:hint="default"/>
          <w:lang w:val="en-US" w:eastAsia="zh-CN"/>
        </w:rPr>
      </w:pPr>
      <w:r>
        <w:rPr>
          <w:rFonts w:hint="default"/>
          <w:lang w:val="en-US" w:eastAsia="zh-CN"/>
        </w:rPr>
        <w:t>PLC 多轴协同控制技术</w:t>
      </w:r>
    </w:p>
    <w:p w14:paraId="6EDD4E97">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eastAsia" w:ascii="宋体" w:hAnsi="宋体" w:cs="宋体"/>
          <w:b w:val="0"/>
          <w:bCs w:val="0"/>
          <w:kern w:val="0"/>
          <w:sz w:val="24"/>
          <w:szCs w:val="16"/>
          <w:lang w:val="en-US" w:eastAsia="zh-CN" w:bidi="ar"/>
        </w:rPr>
      </w:pPr>
      <w:r>
        <w:rPr>
          <w:rFonts w:hint="eastAsia" w:ascii="宋体" w:hAnsi="宋体" w:cs="宋体"/>
          <w:b w:val="0"/>
          <w:bCs w:val="0"/>
          <w:kern w:val="0"/>
          <w:sz w:val="24"/>
          <w:szCs w:val="16"/>
          <w:lang w:val="en-US" w:eastAsia="zh-CN" w:bidi="ar"/>
        </w:rPr>
        <w:drawing>
          <wp:inline distT="0" distB="0" distL="114300" distR="114300">
            <wp:extent cx="5267960" cy="2345055"/>
            <wp:effectExtent l="0" t="0" r="2540" b="4445"/>
            <wp:docPr id="17" name="图片 17" descr="C:/Users/asus/Desktop/微信图片_20260123181653_15_4254.jpg微信图片_20260123181653_15_4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asus/Desktop/微信图片_20260123181653_15_4254.jpg微信图片_20260123181653_15_4254"/>
                    <pic:cNvPicPr>
                      <a:picLocks noChangeAspect="1"/>
                    </pic:cNvPicPr>
                  </pic:nvPicPr>
                  <pic:blipFill>
                    <a:blip r:embed="rId10"/>
                    <a:srcRect l="2857" r="2857"/>
                    <a:stretch>
                      <a:fillRect/>
                    </a:stretch>
                  </pic:blipFill>
                  <pic:spPr>
                    <a:xfrm>
                      <a:off x="0" y="0"/>
                      <a:ext cx="5267960" cy="2345055"/>
                    </a:xfrm>
                    <a:prstGeom prst="rect">
                      <a:avLst/>
                    </a:prstGeom>
                  </pic:spPr>
                </pic:pic>
              </a:graphicData>
            </a:graphic>
          </wp:inline>
        </w:drawing>
      </w:r>
    </w:p>
    <w:p w14:paraId="68636F06">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ascii="宋体" w:hAnsi="宋体" w:eastAsia="宋体" w:cs="宋体"/>
          <w:sz w:val="24"/>
          <w:szCs w:val="24"/>
        </w:rPr>
      </w:pPr>
      <w:r>
        <w:rPr>
          <w:rFonts w:hint="eastAsia" w:ascii="宋体" w:hAnsi="宋体" w:cs="宋体"/>
          <w:b w:val="0"/>
          <w:bCs w:val="0"/>
          <w:kern w:val="0"/>
          <w:sz w:val="24"/>
          <w:szCs w:val="16"/>
          <w:lang w:val="en-US" w:eastAsia="zh-CN" w:bidi="ar"/>
        </w:rPr>
        <w:t>图3</w:t>
      </w:r>
      <w:r>
        <w:rPr>
          <w:rFonts w:hint="eastAsia" w:ascii="宋体" w:hAnsi="宋体" w:eastAsia="宋体" w:cs="宋体"/>
          <w:b w:val="0"/>
          <w:bCs w:val="0"/>
          <w:kern w:val="0"/>
          <w:sz w:val="24"/>
          <w:szCs w:val="16"/>
          <w:lang w:val="en-US" w:eastAsia="zh-CN" w:bidi="ar"/>
        </w:rPr>
        <w:t>.</w:t>
      </w:r>
      <w:r>
        <w:rPr>
          <w:rFonts w:hint="eastAsia" w:ascii="宋体" w:hAnsi="宋体" w:cs="宋体"/>
          <w:b w:val="0"/>
          <w:bCs w:val="0"/>
          <w:kern w:val="0"/>
          <w:sz w:val="24"/>
          <w:szCs w:val="16"/>
          <w:lang w:val="en-US" w:eastAsia="zh-CN" w:bidi="ar"/>
        </w:rPr>
        <w:t>3</w:t>
      </w:r>
      <w:r>
        <w:rPr>
          <w:rFonts w:hint="eastAsia" w:ascii="宋体" w:hAnsi="宋体" w:eastAsia="宋体" w:cs="宋体"/>
          <w:b w:val="0"/>
          <w:bCs w:val="0"/>
          <w:kern w:val="0"/>
          <w:sz w:val="24"/>
          <w:szCs w:val="16"/>
          <w:lang w:val="en-US" w:eastAsia="zh-CN" w:bidi="ar"/>
        </w:rPr>
        <w:t xml:space="preserve"> </w:t>
      </w:r>
      <w:r>
        <w:rPr>
          <w:rFonts w:ascii="宋体" w:hAnsi="宋体" w:eastAsia="宋体" w:cs="宋体"/>
          <w:sz w:val="24"/>
          <w:szCs w:val="24"/>
        </w:rPr>
        <w:t>PLC程序中“当前位置”</w:t>
      </w:r>
    </w:p>
    <w:p w14:paraId="629615E3">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ascii="宋体" w:hAnsi="宋体" w:eastAsia="宋体" w:cs="宋体"/>
          <w:sz w:val="24"/>
          <w:szCs w:val="24"/>
          <w:lang w:val="en-US" w:eastAsia="zh-CN"/>
        </w:rPr>
      </w:pPr>
      <w:r>
        <w:rPr>
          <w:rFonts w:ascii="宋体" w:hAnsi="宋体" w:eastAsia="宋体" w:cs="宋体"/>
          <w:sz w:val="24"/>
          <w:szCs w:val="24"/>
          <w:lang w:val="en-US" w:eastAsia="zh-CN"/>
        </w:rPr>
        <w:drawing>
          <wp:inline distT="0" distB="0" distL="114300" distR="114300">
            <wp:extent cx="5266690" cy="2211070"/>
            <wp:effectExtent l="0" t="0" r="3810" b="11430"/>
            <wp:docPr id="25" name="图片 25" descr="C:/Users/asus/Desktop/微信图片_20260123181651_6_4254.jpg微信图片_20260123181651_6_4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C:/Users/asus/Desktop/微信图片_20260123181651_6_4254.jpg微信图片_20260123181651_6_4254"/>
                    <pic:cNvPicPr>
                      <a:picLocks noChangeAspect="1"/>
                    </pic:cNvPicPr>
                  </pic:nvPicPr>
                  <pic:blipFill>
                    <a:blip r:embed="rId11"/>
                    <a:srcRect t="2851" b="2851"/>
                    <a:stretch>
                      <a:fillRect/>
                    </a:stretch>
                  </pic:blipFill>
                  <pic:spPr>
                    <a:xfrm>
                      <a:off x="0" y="0"/>
                      <a:ext cx="5266690" cy="2211070"/>
                    </a:xfrm>
                    <a:prstGeom prst="rect">
                      <a:avLst/>
                    </a:prstGeom>
                  </pic:spPr>
                </pic:pic>
              </a:graphicData>
            </a:graphic>
          </wp:inline>
        </w:drawing>
      </w:r>
    </w:p>
    <w:p w14:paraId="353E3D43">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ascii="宋体" w:hAnsi="宋体" w:eastAsia="宋体" w:cs="宋体"/>
          <w:kern w:val="0"/>
          <w:sz w:val="24"/>
          <w:szCs w:val="24"/>
          <w:lang w:val="en-US" w:eastAsia="zh-CN" w:bidi="ar"/>
        </w:rPr>
      </w:pPr>
      <w:r>
        <w:rPr>
          <w:rFonts w:hint="eastAsia" w:ascii="宋体" w:hAnsi="宋体" w:cs="宋体"/>
          <w:b w:val="0"/>
          <w:bCs w:val="0"/>
          <w:kern w:val="0"/>
          <w:sz w:val="24"/>
          <w:szCs w:val="16"/>
          <w:lang w:val="en-US" w:eastAsia="zh-CN" w:bidi="ar"/>
        </w:rPr>
        <w:t>图3</w:t>
      </w:r>
      <w:r>
        <w:rPr>
          <w:rFonts w:hint="eastAsia" w:ascii="宋体" w:hAnsi="宋体" w:eastAsia="宋体" w:cs="宋体"/>
          <w:b w:val="0"/>
          <w:bCs w:val="0"/>
          <w:kern w:val="0"/>
          <w:sz w:val="24"/>
          <w:szCs w:val="16"/>
          <w:lang w:val="en-US" w:eastAsia="zh-CN" w:bidi="ar"/>
        </w:rPr>
        <w:t>.</w:t>
      </w:r>
      <w:r>
        <w:rPr>
          <w:rFonts w:hint="eastAsia" w:ascii="宋体" w:hAnsi="宋体" w:cs="宋体"/>
          <w:b w:val="0"/>
          <w:bCs w:val="0"/>
          <w:kern w:val="0"/>
          <w:sz w:val="24"/>
          <w:szCs w:val="16"/>
          <w:lang w:val="en-US" w:eastAsia="zh-CN" w:bidi="ar"/>
        </w:rPr>
        <w:t>4</w:t>
      </w:r>
      <w:r>
        <w:rPr>
          <w:rFonts w:hint="eastAsia" w:ascii="宋体" w:hAnsi="宋体" w:eastAsia="宋体" w:cs="宋体"/>
          <w:b w:val="0"/>
          <w:bCs w:val="0"/>
          <w:kern w:val="0"/>
          <w:sz w:val="24"/>
          <w:szCs w:val="16"/>
          <w:lang w:val="en-US" w:eastAsia="zh-CN" w:bidi="ar"/>
        </w:rPr>
        <w:t xml:space="preserve"> </w:t>
      </w:r>
      <w:r>
        <w:rPr>
          <w:rFonts w:ascii="宋体" w:hAnsi="宋体" w:eastAsia="宋体" w:cs="宋体"/>
          <w:sz w:val="24"/>
          <w:szCs w:val="24"/>
        </w:rPr>
        <w:t>PLC程序中“当前位置”“目标速度”</w:t>
      </w:r>
    </w:p>
    <w:p w14:paraId="637E2B13">
      <w:pPr>
        <w:keepNext w:val="0"/>
        <w:keepLines w:val="0"/>
        <w:widowControl/>
        <w:suppressLineNumbers w:val="0"/>
        <w:jc w:val="left"/>
      </w:pPr>
      <w:r>
        <w:rPr>
          <w:rFonts w:ascii="宋体" w:hAnsi="宋体" w:eastAsia="宋体" w:cs="宋体"/>
          <w:kern w:val="0"/>
          <w:sz w:val="24"/>
          <w:szCs w:val="24"/>
          <w:lang w:val="en-US" w:eastAsia="zh-CN" w:bidi="ar"/>
        </w:rPr>
        <w:t>为解决传统口罩生产设备多轴动作不同步、工序协同性差的痛点，本系统采用虚拟主轴同步策略，以滚花伺服轴（轴0）作为虚拟主轴，统筹协调全系统运动时序，其余32个从轴均与虚拟主轴保持1:1同步联动。该策略可确保拉布、封边、裁切、耳带焊接等各核心工序动作精准契合，有效规避因轴间同步偏差导致的布料褶皱、裁切不齐、焊接偏移等质量问题，与图3.3、图3.4所示PLC程序中“当前位置”“目标速度”的精准管控逻辑相匹配，为多轴协同提供程序层面的支撑。</w:t>
      </w:r>
    </w:p>
    <w:p w14:paraId="3D503848">
      <w:pPr>
        <w:keepNext w:val="0"/>
        <w:keepLines w:val="0"/>
        <w:widowControl/>
        <w:suppressLineNumbers w:val="0"/>
        <w:jc w:val="left"/>
      </w:pPr>
      <w:r>
        <w:rPr>
          <w:rFonts w:ascii="宋体" w:hAnsi="宋体" w:eastAsia="宋体" w:cs="宋体"/>
          <w:kern w:val="0"/>
          <w:sz w:val="24"/>
          <w:szCs w:val="24"/>
          <w:lang w:val="en-US" w:eastAsia="zh-CN" w:bidi="ar"/>
        </w:rPr>
        <w:t>多轴协同的高速性与精准性，依托EtherCAT总线通讯技术实现。前文3.1.1硬件架构中已明确，各PLC与伺服驱动器通过EtherCAT总线连接，此处进一步优化通讯性能，实现PLC与伺服驱动器的数据高速交互，数据更新周期稳定≤1ms，相较于传统脉冲控制方式15-20ms的通讯延迟，大幅提升同步响应速度，彻底解决传统脉冲控制存在的同步延迟、信号干扰等弊端，保障设备在180片/分钟的高速生产状态下，仍能维持多轴同步精度。</w:t>
      </w:r>
    </w:p>
    <w:p w14:paraId="2F84DEE2">
      <w:pPr>
        <w:keepNext w:val="0"/>
        <w:keepLines w:val="0"/>
        <w:widowControl/>
        <w:suppressLineNumbers w:val="0"/>
        <w:jc w:val="left"/>
      </w:pPr>
      <w:r>
        <w:rPr>
          <w:rFonts w:ascii="宋体" w:hAnsi="宋体" w:eastAsia="宋体" w:cs="宋体"/>
          <w:kern w:val="0"/>
          <w:sz w:val="24"/>
          <w:szCs w:val="24"/>
          <w:lang w:val="en-US" w:eastAsia="zh-CN" w:bidi="ar"/>
        </w:rPr>
        <w:t>针对耳带焊接、封边等对定位精度要求极高的工序，系统专门支持凸轮追剪与追焊功能，耳带焊接滑台与封边滑台均采用凸轮协同控制算法，可实时跟踪虚拟主轴的运动轨迹，与主轴运动精准匹配，实现高速生产场景下的毫米级精准定位，确保耳带焊接位置偏差≤2mm、封边尺寸误差≤1mm，契合医疗级口罩的质量要求。</w:t>
      </w:r>
    </w:p>
    <w:p w14:paraId="2BB7A246">
      <w:pPr>
        <w:keepNext w:val="0"/>
        <w:keepLines w:val="0"/>
        <w:widowControl/>
        <w:suppressLineNumbers w:val="0"/>
        <w:jc w:val="left"/>
      </w:pPr>
      <w:r>
        <w:rPr>
          <w:rFonts w:ascii="宋体" w:hAnsi="宋体" w:eastAsia="宋体" w:cs="宋体"/>
          <w:kern w:val="0"/>
          <w:sz w:val="24"/>
          <w:szCs w:val="24"/>
          <w:lang w:val="en-US" w:eastAsia="zh-CN" w:bidi="ar"/>
        </w:rPr>
        <w:t>为提升技术适配性，满足不同规格、不同工序的生产需求，系统为每个伺服轴配备20个可灵活设置的运动参数，涵盖速度、加速度、定位精度、凸轮点位等核心指标。操作人员无需修改PLC核心程序，仅通过触摸屏即可便捷调整各轴运动曲线与参数设置，操作简单高效，既降低了操作人员的技术门槛，也实现了多规格口罩生产的快速适配，进一步提升设备的柔性生产能力，与前文软件架构中监控层的人机交互功能形成呼应，完善全流程管控体系。</w:t>
      </w:r>
    </w:p>
    <w:p w14:paraId="4DC66678">
      <w:pPr>
        <w:pStyle w:val="4"/>
        <w:numPr>
          <w:ilvl w:val="0"/>
          <w:numId w:val="14"/>
        </w:numPr>
        <w:bidi w:val="0"/>
        <w:ind w:left="0" w:leftChars="0" w:firstLine="0" w:firstLineChars="0"/>
        <w:rPr>
          <w:rFonts w:hint="default"/>
          <w:lang w:val="en-US" w:eastAsia="zh-CN"/>
        </w:rPr>
      </w:pPr>
      <w:r>
        <w:rPr>
          <w:rFonts w:hint="default"/>
          <w:lang w:val="en-US" w:eastAsia="zh-CN"/>
        </w:rPr>
        <w:t>凸轮点位动态计算技术</w:t>
      </w:r>
    </w:p>
    <w:p w14:paraId="0F098521">
      <w:pPr>
        <w:keepNext w:val="0"/>
        <w:keepLines w:val="0"/>
        <w:widowControl/>
        <w:suppressLineNumbers w:val="0"/>
        <w:jc w:val="left"/>
      </w:pPr>
      <w:r>
        <w:rPr>
          <w:rFonts w:ascii="宋体" w:hAnsi="宋体" w:eastAsia="宋体" w:cs="宋体"/>
          <w:kern w:val="0"/>
          <w:sz w:val="24"/>
          <w:szCs w:val="24"/>
          <w:lang w:val="en-US" w:eastAsia="zh-CN" w:bidi="ar"/>
        </w:rPr>
        <w:t>针对传统设备凸轮点位需手动调试、换型效率低的痛点，本技术核心在于基于口罩宽度自动计算凸轮关键点位，无需人工拆解设备或修改核心程序，即可快速适配不同尺寸口罩生产，与图3.5所示参数界面1的操作逻辑精准呼应，操作人员可通过该界面查看、确认自动计算后的凸轮参数，便捷高效。</w:t>
      </w:r>
    </w:p>
    <w:p w14:paraId="409082AC">
      <w:pPr>
        <w:rPr>
          <w:rFonts w:hint="default"/>
          <w:lang w:val="en-US" w:eastAsia="zh-CN"/>
        </w:rPr>
      </w:pPr>
    </w:p>
    <w:p w14:paraId="2001D3E6">
      <w:pPr>
        <w:keepNext w:val="0"/>
        <w:keepLines w:val="0"/>
        <w:widowControl/>
        <w:suppressLineNumbers w:val="0"/>
        <w:ind w:left="0" w:leftChars="0" w:firstLine="0" w:firstLineChars="0"/>
        <w:jc w:val="center"/>
        <w:rPr>
          <w:rFonts w:hint="eastAsia" w:ascii="宋体" w:hAnsi="宋体" w:cs="宋体"/>
          <w:b w:val="0"/>
          <w:bCs w:val="0"/>
          <w:kern w:val="0"/>
          <w:sz w:val="24"/>
          <w:szCs w:val="16"/>
          <w:lang w:val="en-US" w:eastAsia="zh-CN" w:bidi="ar"/>
        </w:rPr>
      </w:pPr>
      <w:r>
        <w:rPr>
          <w:rFonts w:hint="eastAsia" w:ascii="宋体" w:hAnsi="宋体" w:cs="宋体"/>
          <w:b w:val="0"/>
          <w:bCs w:val="0"/>
          <w:kern w:val="0"/>
          <w:sz w:val="24"/>
          <w:szCs w:val="16"/>
          <w:lang w:val="en-US" w:eastAsia="zh-CN" w:bidi="ar"/>
        </w:rPr>
        <w:drawing>
          <wp:inline distT="0" distB="0" distL="114300" distR="114300">
            <wp:extent cx="4692015" cy="3519170"/>
            <wp:effectExtent l="0" t="0" r="6985" b="11430"/>
            <wp:docPr id="37" name="图片 37" descr="C:/Users/asus/Desktop/微信图片_20260123181742_61_4254.jpg微信图片_20260123181742_61_4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C:/Users/asus/Desktop/微信图片_20260123181742_61_4254.jpg微信图片_20260123181742_61_4254"/>
                    <pic:cNvPicPr>
                      <a:picLocks noChangeAspect="1"/>
                    </pic:cNvPicPr>
                  </pic:nvPicPr>
                  <pic:blipFill>
                    <a:blip r:embed="rId12"/>
                    <a:srcRect l="9" r="9"/>
                    <a:stretch>
                      <a:fillRect/>
                    </a:stretch>
                  </pic:blipFill>
                  <pic:spPr>
                    <a:xfrm>
                      <a:off x="0" y="0"/>
                      <a:ext cx="4692015" cy="3519170"/>
                    </a:xfrm>
                    <a:prstGeom prst="rect">
                      <a:avLst/>
                    </a:prstGeom>
                  </pic:spPr>
                </pic:pic>
              </a:graphicData>
            </a:graphic>
          </wp:inline>
        </w:drawing>
      </w:r>
    </w:p>
    <w:p w14:paraId="00B491C7">
      <w:pPr>
        <w:keepNext w:val="0"/>
        <w:keepLines w:val="0"/>
        <w:widowControl/>
        <w:suppressLineNumbers w:val="0"/>
        <w:ind w:left="0" w:leftChars="0" w:firstLine="0" w:firstLineChars="0"/>
        <w:jc w:val="center"/>
        <w:rPr>
          <w:rFonts w:hint="eastAsia" w:ascii="宋体" w:hAnsi="宋体" w:eastAsia="宋体" w:cs="宋体"/>
          <w:kern w:val="0"/>
          <w:sz w:val="24"/>
          <w:szCs w:val="24"/>
          <w:lang w:val="en-US" w:eastAsia="zh-CN" w:bidi="ar"/>
        </w:rPr>
      </w:pPr>
      <w:r>
        <w:rPr>
          <w:rFonts w:hint="eastAsia" w:ascii="宋体" w:hAnsi="宋体" w:cs="宋体"/>
          <w:b w:val="0"/>
          <w:bCs w:val="0"/>
          <w:kern w:val="0"/>
          <w:sz w:val="24"/>
          <w:szCs w:val="16"/>
          <w:lang w:val="en-US" w:eastAsia="zh-CN" w:bidi="ar"/>
        </w:rPr>
        <w:t>图3</w:t>
      </w:r>
      <w:r>
        <w:rPr>
          <w:rFonts w:hint="eastAsia" w:ascii="宋体" w:hAnsi="宋体" w:eastAsia="宋体" w:cs="宋体"/>
          <w:b w:val="0"/>
          <w:bCs w:val="0"/>
          <w:kern w:val="0"/>
          <w:sz w:val="24"/>
          <w:szCs w:val="16"/>
          <w:lang w:val="en-US" w:eastAsia="zh-CN" w:bidi="ar"/>
        </w:rPr>
        <w:t>.</w:t>
      </w:r>
      <w:r>
        <w:rPr>
          <w:rFonts w:hint="eastAsia" w:ascii="宋体" w:hAnsi="宋体" w:cs="宋体"/>
          <w:b w:val="0"/>
          <w:bCs w:val="0"/>
          <w:kern w:val="0"/>
          <w:sz w:val="24"/>
          <w:szCs w:val="16"/>
          <w:lang w:val="en-US" w:eastAsia="zh-CN" w:bidi="ar"/>
        </w:rPr>
        <w:t>5</w:t>
      </w:r>
      <w:r>
        <w:rPr>
          <w:rFonts w:hint="eastAsia" w:ascii="宋体" w:hAnsi="宋体" w:eastAsia="宋体" w:cs="宋体"/>
          <w:b w:val="0"/>
          <w:bCs w:val="0"/>
          <w:kern w:val="0"/>
          <w:sz w:val="24"/>
          <w:szCs w:val="16"/>
          <w:lang w:val="en-US" w:eastAsia="zh-CN" w:bidi="ar"/>
        </w:rPr>
        <w:t xml:space="preserve"> </w:t>
      </w:r>
      <w:r>
        <w:rPr>
          <w:rFonts w:ascii="宋体" w:hAnsi="宋体" w:eastAsia="宋体" w:cs="宋体"/>
          <w:sz w:val="24"/>
          <w:szCs w:val="24"/>
        </w:rPr>
        <w:t>参数界面</w:t>
      </w:r>
      <w:r>
        <w:rPr>
          <w:rFonts w:hint="eastAsia" w:ascii="宋体" w:hAnsi="宋体" w:eastAsia="宋体" w:cs="宋体"/>
          <w:sz w:val="24"/>
          <w:szCs w:val="24"/>
          <w:lang w:val="en-US" w:eastAsia="zh-CN"/>
        </w:rPr>
        <w:t>1</w:t>
      </w:r>
    </w:p>
    <w:p w14:paraId="6F95E593">
      <w:pPr>
        <w:keepNext w:val="0"/>
        <w:keepLines w:val="0"/>
        <w:widowControl/>
        <w:suppressLineNumbers w:val="0"/>
        <w:jc w:val="left"/>
      </w:pPr>
      <w:r>
        <w:rPr>
          <w:rFonts w:ascii="宋体" w:hAnsi="宋体" w:eastAsia="宋体" w:cs="宋体"/>
          <w:kern w:val="0"/>
          <w:sz w:val="24"/>
          <w:szCs w:val="24"/>
          <w:lang w:val="en-US" w:eastAsia="zh-CN" w:bidi="ar"/>
        </w:rPr>
        <w:t>结合生产模式差异，采用差异化计算逻辑，确保参数精准度：定标模式下，口罩宽度计算公式为“口罩宽度=滚花伺服每圈移动量/2*(100-定标提前返回百分比)/100”，可通过色标检测反馈的信号，自动修正定标提前返回百分比，保障不同批次布料生产时的尺寸一致性；定长模式下，口罩宽度计算公式简化为“口罩宽度=滚花伺服每圈移动量/2”，直接通过预设的滚花伺服参数自动计算，操作更便捷。</w:t>
      </w:r>
    </w:p>
    <w:p w14:paraId="766230BA">
      <w:pPr>
        <w:keepNext w:val="0"/>
        <w:keepLines w:val="0"/>
        <w:widowControl/>
        <w:suppressLineNumbers w:val="0"/>
        <w:jc w:val="left"/>
      </w:pPr>
      <w:r>
        <w:rPr>
          <w:rFonts w:ascii="宋体" w:hAnsi="宋体" w:eastAsia="宋体" w:cs="宋体"/>
          <w:kern w:val="0"/>
          <w:sz w:val="24"/>
          <w:szCs w:val="24"/>
          <w:lang w:val="en-US" w:eastAsia="zh-CN" w:bidi="ar"/>
        </w:rPr>
        <w:t>通过该动态计算算法，系统可实时响应口罩宽度的调整需求，无论是3层基础款还是6层高效过滤款，无论是不同尺寸的常规订单，均可自动适配凸轮关键点位，彻底摒弃传统设备手动调整凸轮曲线的繁琐流程，大幅缩短换型时间，提升生产效率，同时与前文PLC多轴协同控制技术联动，确保凸轮运动与多轴同步精准匹配。</w:t>
      </w:r>
    </w:p>
    <w:p w14:paraId="005DFE18">
      <w:pPr>
        <w:keepNext w:val="0"/>
        <w:keepLines w:val="0"/>
        <w:widowControl/>
        <w:suppressLineNumbers w:val="0"/>
        <w:jc w:val="left"/>
      </w:pPr>
      <w:r>
        <w:rPr>
          <w:rFonts w:ascii="宋体" w:hAnsi="宋体" w:eastAsia="宋体" w:cs="宋体"/>
          <w:kern w:val="0"/>
          <w:sz w:val="24"/>
          <w:szCs w:val="24"/>
          <w:lang w:val="en-US" w:eastAsia="zh-CN" w:bidi="ar"/>
        </w:rPr>
        <w:t>为进一步提升设备稳定性与使用寿命，系统内置多种凸轮曲线类型，涵盖三次曲线、直线等，针对不同工序的运动特性优化参数设置：对于焊耳滑台，重点优化加速度与跃度参数，减少焊接瞬间的运动冲击，避免耳带焊接偏移；对于封边滑台，采用平滑的三次曲线，确保封边动作连贯平稳，减少设备磨损。经实测，优化后的凸轮曲线可使设备运动冲击降低30%以上，有效延长伺服电机、滑台等核心部件的使用寿命，降低后期运维成本。</w:t>
      </w:r>
    </w:p>
    <w:p w14:paraId="0585ABA1">
      <w:pPr>
        <w:pStyle w:val="4"/>
        <w:numPr>
          <w:ilvl w:val="0"/>
          <w:numId w:val="14"/>
        </w:numPr>
        <w:bidi w:val="0"/>
        <w:ind w:left="0" w:leftChars="0" w:firstLine="0" w:firstLineChars="0"/>
        <w:rPr>
          <w:rFonts w:hint="default"/>
          <w:lang w:val="en-US" w:eastAsia="zh-CN"/>
        </w:rPr>
      </w:pPr>
      <w:r>
        <w:rPr>
          <w:rFonts w:hint="eastAsia"/>
          <w:lang w:val="en-US" w:eastAsia="zh-CN"/>
        </w:rPr>
        <w:t>布料张紧与纠偏技术</w:t>
      </w:r>
    </w:p>
    <w:p w14:paraId="43BAC805">
      <w:pPr>
        <w:keepNext w:val="0"/>
        <w:keepLines w:val="0"/>
        <w:widowControl/>
        <w:suppressLineNumbers w:val="0"/>
        <w:jc w:val="left"/>
      </w:pPr>
      <w:r>
        <w:rPr>
          <w:rFonts w:ascii="宋体" w:hAnsi="宋体" w:eastAsia="宋体" w:cs="宋体"/>
          <w:kern w:val="0"/>
          <w:sz w:val="24"/>
          <w:szCs w:val="24"/>
          <w:lang w:val="en-US" w:eastAsia="zh-CN" w:bidi="ar"/>
        </w:rPr>
        <w:t>布料张紧度与偏移量直接影响口罩生产质量与连续性，传统设备常因布料褶皱、偏移导致裁切不齐、焊接不良等问题，本系统专门配备布料张紧与纠偏一体化控制技术，精准破解这一行业痛点，与前文布料处理模块的硬件设计形成深度适配。</w:t>
      </w:r>
    </w:p>
    <w:p w14:paraId="2E667564">
      <w:pPr>
        <w:keepNext w:val="0"/>
        <w:keepLines w:val="0"/>
        <w:widowControl/>
        <w:suppressLineNumbers w:val="0"/>
        <w:jc w:val="left"/>
      </w:pPr>
      <w:r>
        <w:rPr>
          <w:rFonts w:ascii="宋体" w:hAnsi="宋体" w:eastAsia="宋体" w:cs="宋体"/>
          <w:kern w:val="0"/>
          <w:sz w:val="24"/>
          <w:szCs w:val="24"/>
          <w:lang w:val="en-US" w:eastAsia="zh-CN" w:bidi="ar"/>
        </w:rPr>
        <w:t>张紧控制方面，系统配置5个张力控制器与5个磁粉制动器，二者协同工作，实现布料放卷过程的精准张紧控制。张力控制器实时采集布料张力信号，将信号反馈至PLC，PLC根据预设张力参数，自动调节磁粉制动器的制动力矩，防止布料放卷过快导致的褶皱、过慢导致的拉裂，确保布料平整无褶皱，为后续焊接、裁切工序奠定基础。</w:t>
      </w:r>
    </w:p>
    <w:p w14:paraId="2FA53C8D">
      <w:pPr>
        <w:keepNext w:val="0"/>
        <w:keepLines w:val="0"/>
        <w:widowControl/>
        <w:suppressLineNumbers w:val="0"/>
        <w:jc w:val="left"/>
      </w:pPr>
      <w:r>
        <w:rPr>
          <w:rFonts w:ascii="宋体" w:hAnsi="宋体" w:eastAsia="宋体" w:cs="宋体"/>
          <w:kern w:val="0"/>
          <w:sz w:val="24"/>
          <w:szCs w:val="24"/>
          <w:lang w:val="en-US" w:eastAsia="zh-CN" w:bidi="ar"/>
        </w:rPr>
        <w:t>纠偏控制方面，5个纠偏仪与纠偏传感器协同联动，实时检测布料边缘的偏移量，检测精度可达0.1mm，当检测到布料偏移超过预设阈值时，传感器立即将信号传输至PLC，PLC快速响应，控制纠偏伺服电机启动，精准调整布料位置，确保纠偏精度≤0.5mm，彻底解决布料偏移导致的生产故障，保障生产连续性。</w:t>
      </w:r>
    </w:p>
    <w:p w14:paraId="5A565950">
      <w:pPr>
        <w:keepNext w:val="0"/>
        <w:keepLines w:val="0"/>
        <w:widowControl/>
        <w:suppressLineNumbers w:val="0"/>
        <w:jc w:val="left"/>
      </w:pPr>
      <w:r>
        <w:rPr>
          <w:rFonts w:ascii="宋体" w:hAnsi="宋体" w:eastAsia="宋体" w:cs="宋体"/>
          <w:kern w:val="0"/>
          <w:sz w:val="24"/>
          <w:szCs w:val="24"/>
          <w:lang w:val="en-US" w:eastAsia="zh-CN" w:bidi="ar"/>
        </w:rPr>
        <w:t>为实现张紧状态的动态稳定，张紧机构采用重力感应与传感器反馈结合的双重控制逻辑，形成闭环控制体系：当布料过松时，重力感应装置与张力传感器同时反馈信号，PLC立即驱动电机启动放料，逐步调整布料张紧度；当布料过紧时，张力传感器反馈信号触发电机停止放料，同时磁粉制动器调整制动力矩，缓解布料张力，确保布料始终处于稳定的张紧状态，既避免褶皱产生，又防止布料损坏，进一步提升产品合格率与生产连续性。</w:t>
      </w:r>
    </w:p>
    <w:p w14:paraId="13AE2B80">
      <w:pPr>
        <w:pStyle w:val="3"/>
        <w:numPr>
          <w:ilvl w:val="0"/>
          <w:numId w:val="12"/>
        </w:numPr>
        <w:bidi w:val="0"/>
        <w:ind w:left="0" w:leftChars="0" w:firstLine="0" w:firstLineChars="0"/>
        <w:rPr>
          <w:rFonts w:hint="default"/>
          <w:lang w:val="en-US" w:eastAsia="zh-CN"/>
        </w:rPr>
      </w:pPr>
      <w:bookmarkStart w:id="25" w:name="_Toc27122"/>
      <w:r>
        <w:rPr>
          <w:rFonts w:hint="default"/>
          <w:lang w:val="en-US" w:eastAsia="zh-CN"/>
        </w:rPr>
        <w:t>关键模块详细设计</w:t>
      </w:r>
      <w:bookmarkEnd w:id="25"/>
    </w:p>
    <w:p w14:paraId="7DA7AD2E">
      <w:pPr>
        <w:pStyle w:val="4"/>
        <w:numPr>
          <w:ilvl w:val="0"/>
          <w:numId w:val="15"/>
        </w:numPr>
        <w:bidi w:val="0"/>
        <w:ind w:left="0" w:leftChars="0" w:firstLine="0" w:firstLineChars="0"/>
        <w:rPr>
          <w:rFonts w:hint="default"/>
          <w:lang w:val="en-US" w:eastAsia="zh-CN"/>
        </w:rPr>
      </w:pPr>
      <w:r>
        <w:rPr>
          <w:rFonts w:hint="default"/>
          <w:lang w:val="en-US" w:eastAsia="zh-CN"/>
        </w:rPr>
        <w:t>布料处理模块</w:t>
      </w:r>
    </w:p>
    <w:p w14:paraId="601AD4A3">
      <w:pPr>
        <w:keepNext w:val="0"/>
        <w:keepLines w:val="0"/>
        <w:widowControl/>
        <w:suppressLineNumbers w:val="0"/>
        <w:ind w:left="0" w:leftChars="0" w:firstLine="0" w:firstLineChars="0"/>
        <w:jc w:val="center"/>
        <w:rPr>
          <w:rFonts w:hint="eastAsia" w:ascii="宋体" w:hAnsi="宋体" w:cs="宋体"/>
          <w:b w:val="0"/>
          <w:bCs w:val="0"/>
          <w:kern w:val="0"/>
          <w:sz w:val="24"/>
          <w:szCs w:val="16"/>
          <w:lang w:val="en-US" w:eastAsia="zh-CN" w:bidi="ar"/>
        </w:rPr>
      </w:pPr>
      <w:r>
        <w:rPr>
          <w:rFonts w:hint="eastAsia" w:ascii="宋体" w:hAnsi="宋体" w:cs="宋体"/>
          <w:b w:val="0"/>
          <w:bCs w:val="0"/>
          <w:kern w:val="0"/>
          <w:sz w:val="24"/>
          <w:szCs w:val="16"/>
          <w:lang w:val="en-US" w:eastAsia="zh-CN" w:bidi="ar"/>
        </w:rPr>
        <w:drawing>
          <wp:inline distT="0" distB="0" distL="114300" distR="114300">
            <wp:extent cx="4907280" cy="3807460"/>
            <wp:effectExtent l="0" t="0" r="7620" b="2540"/>
            <wp:docPr id="4" name="图片 4" descr="微信图片_20260123181658_22_4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微信图片_20260123181658_22_4254"/>
                    <pic:cNvPicPr>
                      <a:picLocks noChangeAspect="1"/>
                    </pic:cNvPicPr>
                  </pic:nvPicPr>
                  <pic:blipFill>
                    <a:blip r:embed="rId13"/>
                    <a:stretch>
                      <a:fillRect/>
                    </a:stretch>
                  </pic:blipFill>
                  <pic:spPr>
                    <a:xfrm>
                      <a:off x="0" y="0"/>
                      <a:ext cx="4907280" cy="3807460"/>
                    </a:xfrm>
                    <a:prstGeom prst="rect">
                      <a:avLst/>
                    </a:prstGeom>
                  </pic:spPr>
                </pic:pic>
              </a:graphicData>
            </a:graphic>
          </wp:inline>
        </w:drawing>
      </w:r>
    </w:p>
    <w:p w14:paraId="09A9921C">
      <w:pPr>
        <w:keepNext w:val="0"/>
        <w:keepLines w:val="0"/>
        <w:widowControl/>
        <w:suppressLineNumbers w:val="0"/>
        <w:ind w:left="0" w:leftChars="0" w:firstLine="0" w:firstLineChars="0"/>
        <w:jc w:val="center"/>
        <w:rPr>
          <w:rFonts w:ascii="宋体" w:hAnsi="宋体" w:eastAsia="宋体" w:cs="宋体"/>
          <w:kern w:val="0"/>
          <w:sz w:val="24"/>
          <w:szCs w:val="24"/>
          <w:lang w:val="en-US" w:eastAsia="zh-CN" w:bidi="ar"/>
        </w:rPr>
      </w:pPr>
      <w:r>
        <w:rPr>
          <w:rFonts w:hint="eastAsia" w:ascii="宋体" w:hAnsi="宋体" w:cs="宋体"/>
          <w:b w:val="0"/>
          <w:bCs w:val="0"/>
          <w:kern w:val="0"/>
          <w:sz w:val="24"/>
          <w:szCs w:val="16"/>
          <w:lang w:val="en-US" w:eastAsia="zh-CN" w:bidi="ar"/>
        </w:rPr>
        <w:t>图3</w:t>
      </w:r>
      <w:r>
        <w:rPr>
          <w:rFonts w:hint="eastAsia" w:ascii="宋体" w:hAnsi="宋体" w:eastAsia="宋体" w:cs="宋体"/>
          <w:b w:val="0"/>
          <w:bCs w:val="0"/>
          <w:kern w:val="0"/>
          <w:sz w:val="24"/>
          <w:szCs w:val="16"/>
          <w:lang w:val="en-US" w:eastAsia="zh-CN" w:bidi="ar"/>
        </w:rPr>
        <w:t>.</w:t>
      </w:r>
      <w:r>
        <w:rPr>
          <w:rFonts w:hint="eastAsia" w:ascii="宋体" w:hAnsi="宋体" w:cs="宋体"/>
          <w:b w:val="0"/>
          <w:bCs w:val="0"/>
          <w:kern w:val="0"/>
          <w:sz w:val="24"/>
          <w:szCs w:val="16"/>
          <w:lang w:val="en-US" w:eastAsia="zh-CN" w:bidi="ar"/>
        </w:rPr>
        <w:t xml:space="preserve">6 </w:t>
      </w:r>
      <w:r>
        <w:rPr>
          <w:rFonts w:ascii="宋体" w:hAnsi="宋体" w:eastAsia="宋体" w:cs="宋体"/>
          <w:sz w:val="24"/>
          <w:szCs w:val="24"/>
        </w:rPr>
        <w:t>布料上料至成品出料流程图</w:t>
      </w:r>
    </w:p>
    <w:p w14:paraId="08900243">
      <w:pPr>
        <w:keepNext w:val="0"/>
        <w:keepLines w:val="0"/>
        <w:widowControl/>
        <w:suppressLineNumbers w:val="0"/>
        <w:jc w:val="left"/>
      </w:pPr>
      <w:r>
        <w:rPr>
          <w:rFonts w:ascii="宋体" w:hAnsi="宋体" w:eastAsia="宋体" w:cs="宋体"/>
          <w:kern w:val="0"/>
          <w:sz w:val="24"/>
          <w:szCs w:val="24"/>
          <w:lang w:val="en-US" w:eastAsia="zh-CN" w:bidi="ar"/>
        </w:rPr>
        <w:t>布料处理模块作为整个生产流程的起始核心，承担原材料上料、张紧、纠偏与多层布料压叠的关键职责，其运行稳定性直接决定后续各工序的生产质量，与图3.6所示布料上料至成品出料流程图的起始环节精准对应，为全流程生产奠定基础。该模块支持3-6层布料同时处理，可灵活适配不同防护等级N95口罩的生产需求，无需额外改造即可完成规格切换。</w:t>
      </w:r>
    </w:p>
    <w:p w14:paraId="5DC72878">
      <w:pPr>
        <w:keepNext w:val="0"/>
        <w:keepLines w:val="0"/>
        <w:widowControl/>
        <w:suppressLineNumbers w:val="0"/>
        <w:jc w:val="left"/>
      </w:pPr>
      <w:r>
        <w:rPr>
          <w:rFonts w:ascii="宋体" w:hAnsi="宋体" w:eastAsia="宋体" w:cs="宋体"/>
          <w:kern w:val="0"/>
          <w:sz w:val="24"/>
          <w:szCs w:val="24"/>
          <w:lang w:val="en-US" w:eastAsia="zh-CN" w:bidi="ar"/>
        </w:rPr>
        <w:t>布料卷放置架配备专用驱动电机，可实时接收张紧机构反馈的张力信号，自动调整放料速度，实现放料速度与布料消耗速度的精准匹配，避免因放料过快导致布料堆积褶皱、放料过慢导致布料拉伸损坏。张紧机构搭载3个张力传感器与配重块，通过旋转杆的位置变化实时检测布料松紧度，形成闭环控制：当检测到布料过松时，驱动电机启动加速放料；当布料过紧时，电机立即停止放料，确保布料始终处于稳定张紧状态。</w:t>
      </w:r>
    </w:p>
    <w:p w14:paraId="76AB0965">
      <w:pPr>
        <w:keepNext w:val="0"/>
        <w:keepLines w:val="0"/>
        <w:widowControl/>
        <w:suppressLineNumbers w:val="0"/>
        <w:jc w:val="left"/>
      </w:pPr>
      <w:r>
        <w:rPr>
          <w:rFonts w:ascii="宋体" w:hAnsi="宋体" w:eastAsia="宋体" w:cs="宋体"/>
          <w:kern w:val="0"/>
          <w:sz w:val="24"/>
          <w:szCs w:val="24"/>
          <w:lang w:val="en-US" w:eastAsia="zh-CN" w:bidi="ar"/>
        </w:rPr>
        <w:t>过料机构采用弹簧压紧式设计，操作人员可通过波纹把手灵活调整压紧压力，适配不同厚度的布料，确保3-6层布料压叠平整、无错位，避免因压叠不平整导致后续焊接、裁切故障。纠偏模块与前文布料张紧与纠偏技术深度联动，通过纠偏传感器实时检测布料边缘位置，将偏移信号传输至PLC，PLC快速响应并控制纠偏伺服电机推动布料支架移动，实现实时纠偏，纠偏精度可达行业领先水平，可灵活适配50-150mm不同宽度的布料，满足多样化生产需求。</w:t>
      </w:r>
    </w:p>
    <w:p w14:paraId="657CC93E">
      <w:pPr>
        <w:pStyle w:val="4"/>
        <w:numPr>
          <w:ilvl w:val="0"/>
          <w:numId w:val="15"/>
        </w:numPr>
        <w:bidi w:val="0"/>
        <w:ind w:left="0" w:leftChars="0" w:firstLine="0" w:firstLineChars="0"/>
        <w:rPr>
          <w:rFonts w:hint="default"/>
          <w:lang w:val="en-US" w:eastAsia="zh-CN"/>
        </w:rPr>
      </w:pPr>
      <w:r>
        <w:rPr>
          <w:rFonts w:hint="default"/>
          <w:lang w:val="en-US" w:eastAsia="zh-CN"/>
        </w:rPr>
        <w:t>鼻梁条安装模块</w:t>
      </w:r>
    </w:p>
    <w:p w14:paraId="6DE43A70">
      <w:pPr>
        <w:keepNext w:val="0"/>
        <w:keepLines w:val="0"/>
        <w:widowControl/>
        <w:suppressLineNumbers w:val="0"/>
        <w:ind w:left="0" w:leftChars="0" w:firstLine="0" w:firstLineChars="0"/>
        <w:jc w:val="center"/>
        <w:rPr>
          <w:rFonts w:hint="eastAsia" w:ascii="宋体" w:hAnsi="宋体" w:cs="宋体"/>
          <w:b w:val="0"/>
          <w:bCs w:val="0"/>
          <w:kern w:val="0"/>
          <w:sz w:val="24"/>
          <w:szCs w:val="16"/>
          <w:lang w:val="en-US" w:eastAsia="zh-CN" w:bidi="ar"/>
        </w:rPr>
      </w:pPr>
      <w:r>
        <w:rPr>
          <w:rFonts w:hint="eastAsia" w:ascii="宋体" w:hAnsi="宋体" w:cs="宋体"/>
          <w:b w:val="0"/>
          <w:bCs w:val="0"/>
          <w:kern w:val="0"/>
          <w:sz w:val="24"/>
          <w:szCs w:val="16"/>
          <w:lang w:val="en-US" w:eastAsia="zh-CN" w:bidi="ar"/>
        </w:rPr>
        <w:drawing>
          <wp:inline distT="0" distB="0" distL="114300" distR="114300">
            <wp:extent cx="3917315" cy="3279140"/>
            <wp:effectExtent l="0" t="0" r="6985" b="10160"/>
            <wp:docPr id="27" name="图片 27" descr="微信图片_20260123181703_27_4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微信图片_20260123181703_27_4254"/>
                    <pic:cNvPicPr>
                      <a:picLocks noChangeAspect="1"/>
                    </pic:cNvPicPr>
                  </pic:nvPicPr>
                  <pic:blipFill>
                    <a:blip r:embed="rId14"/>
                    <a:stretch>
                      <a:fillRect/>
                    </a:stretch>
                  </pic:blipFill>
                  <pic:spPr>
                    <a:xfrm>
                      <a:off x="0" y="0"/>
                      <a:ext cx="3917315" cy="3279140"/>
                    </a:xfrm>
                    <a:prstGeom prst="rect">
                      <a:avLst/>
                    </a:prstGeom>
                  </pic:spPr>
                </pic:pic>
              </a:graphicData>
            </a:graphic>
          </wp:inline>
        </w:drawing>
      </w:r>
    </w:p>
    <w:p w14:paraId="140AC4E6">
      <w:pPr>
        <w:keepNext w:val="0"/>
        <w:keepLines w:val="0"/>
        <w:widowControl/>
        <w:suppressLineNumbers w:val="0"/>
        <w:ind w:left="0" w:leftChars="0" w:firstLine="0" w:firstLineChars="0"/>
        <w:jc w:val="center"/>
        <w:rPr>
          <w:rFonts w:ascii="宋体" w:hAnsi="宋体" w:eastAsia="宋体" w:cs="宋体"/>
          <w:kern w:val="0"/>
          <w:sz w:val="24"/>
          <w:szCs w:val="24"/>
          <w:lang w:val="en-US" w:eastAsia="zh-CN" w:bidi="ar"/>
        </w:rPr>
      </w:pPr>
      <w:r>
        <w:rPr>
          <w:rFonts w:hint="eastAsia" w:ascii="宋体" w:hAnsi="宋体" w:cs="宋体"/>
          <w:b w:val="0"/>
          <w:bCs w:val="0"/>
          <w:kern w:val="0"/>
          <w:sz w:val="24"/>
          <w:szCs w:val="16"/>
          <w:lang w:val="en-US" w:eastAsia="zh-CN" w:bidi="ar"/>
        </w:rPr>
        <w:t>图3</w:t>
      </w:r>
      <w:r>
        <w:rPr>
          <w:rFonts w:hint="eastAsia" w:ascii="宋体" w:hAnsi="宋体" w:eastAsia="宋体" w:cs="宋体"/>
          <w:b w:val="0"/>
          <w:bCs w:val="0"/>
          <w:kern w:val="0"/>
          <w:sz w:val="24"/>
          <w:szCs w:val="16"/>
          <w:lang w:val="en-US" w:eastAsia="zh-CN" w:bidi="ar"/>
        </w:rPr>
        <w:t>.</w:t>
      </w:r>
      <w:r>
        <w:rPr>
          <w:rFonts w:hint="eastAsia" w:ascii="宋体" w:hAnsi="宋体" w:cs="宋体"/>
          <w:b w:val="0"/>
          <w:bCs w:val="0"/>
          <w:kern w:val="0"/>
          <w:sz w:val="24"/>
          <w:szCs w:val="16"/>
          <w:lang w:val="en-US" w:eastAsia="zh-CN" w:bidi="ar"/>
        </w:rPr>
        <w:t>7</w:t>
      </w:r>
      <w:r>
        <w:rPr>
          <w:rFonts w:hint="eastAsia" w:ascii="宋体" w:hAnsi="宋体" w:eastAsia="宋体" w:cs="宋体"/>
          <w:b w:val="0"/>
          <w:bCs w:val="0"/>
          <w:kern w:val="0"/>
          <w:sz w:val="24"/>
          <w:szCs w:val="16"/>
          <w:lang w:val="en-US" w:eastAsia="zh-CN" w:bidi="ar"/>
        </w:rPr>
        <w:t xml:space="preserve"> </w:t>
      </w:r>
      <w:r>
        <w:rPr>
          <w:rFonts w:ascii="宋体" w:hAnsi="宋体" w:eastAsia="宋体" w:cs="宋体"/>
          <w:sz w:val="24"/>
          <w:szCs w:val="24"/>
        </w:rPr>
        <w:t>鼻梁条装置伺服控制图</w:t>
      </w:r>
    </w:p>
    <w:p w14:paraId="24FFA66C">
      <w:pPr>
        <w:keepNext w:val="0"/>
        <w:keepLines w:val="0"/>
        <w:widowControl/>
        <w:suppressLineNumbers w:val="0"/>
        <w:jc w:val="left"/>
      </w:pPr>
      <w:r>
        <w:rPr>
          <w:rFonts w:ascii="宋体" w:hAnsi="宋体" w:eastAsia="宋体" w:cs="宋体"/>
          <w:kern w:val="0"/>
          <w:sz w:val="24"/>
          <w:szCs w:val="24"/>
          <w:lang w:val="en-US" w:eastAsia="zh-CN" w:bidi="ar"/>
        </w:rPr>
        <w:t>鼻梁条安装模块专注于实现鼻梁条的送料、裁切与安装全流程自动化，其设计逻辑与图3.7所示鼻梁条装置伺服控制图完全契合，通过PLC与伺服电机的协同控制，确保鼻梁条安装精准、高效，避免出现漏装、装偏、裁切误差过大等问题，保障口罩的密封性能。</w:t>
      </w:r>
    </w:p>
    <w:p w14:paraId="08D924EF">
      <w:pPr>
        <w:keepNext w:val="0"/>
        <w:keepLines w:val="0"/>
        <w:widowControl/>
        <w:suppressLineNumbers w:val="0"/>
        <w:jc w:val="left"/>
      </w:pPr>
      <w:r>
        <w:rPr>
          <w:rFonts w:ascii="宋体" w:hAnsi="宋体" w:eastAsia="宋体" w:cs="宋体"/>
          <w:kern w:val="0"/>
          <w:sz w:val="24"/>
          <w:szCs w:val="24"/>
          <w:lang w:val="en-US" w:eastAsia="zh-CN" w:bidi="ar"/>
        </w:rPr>
        <w:t>鼻梁线料盘通过导正/驱动机构牵引鼻梁条平稳前进，导正机构可有效防止鼻梁条前进过程中出现扭曲、偏移，确保鼻梁条始终沿预设轨迹输送；送料盒精准对接导正机构，将鼻梁条平稳、精准地送入多层布料中间位置，为后续安装工序做好准备。驱动凸轮采用高精度加工工艺，每旋转一圈，切刀同步动作一次，将鼻梁条裁切成预设长度，裁切范围可灵活调整为30-50mm，经实测裁切精度稳定≤0.5mm，完全满足医疗级口罩的精度要求。</w:t>
      </w:r>
    </w:p>
    <w:p w14:paraId="2859F706">
      <w:pPr>
        <w:keepNext w:val="0"/>
        <w:keepLines w:val="0"/>
        <w:widowControl/>
        <w:suppressLineNumbers w:val="0"/>
        <w:jc w:val="left"/>
      </w:pPr>
      <w:r>
        <w:rPr>
          <w:rFonts w:ascii="宋体" w:hAnsi="宋体" w:eastAsia="宋体" w:cs="宋体"/>
          <w:kern w:val="0"/>
          <w:sz w:val="24"/>
          <w:szCs w:val="24"/>
          <w:lang w:val="en-US" w:eastAsia="zh-CN" w:bidi="ar"/>
        </w:rPr>
        <w:t>安装机构采用偏心轮驱动推杆设计，偏心轮的精准转动可带动推杆平稳运动，将裁切后的鼻梁条精准推入多层布料之间，推料位置误差严格控制在≤1mm，确保鼻梁条安装位置居中、无偏移。PLC可根据设备整体生产速度，自动调整鼻梁条送料频率，实现鼻梁条送料、裁切、安装与布料前进速度的完全同步，从根本上杜绝漏装或装偏问题，进一步提升产品合格率。</w:t>
      </w:r>
    </w:p>
    <w:p w14:paraId="6355B082">
      <w:pPr>
        <w:pStyle w:val="4"/>
        <w:numPr>
          <w:ilvl w:val="0"/>
          <w:numId w:val="15"/>
        </w:numPr>
        <w:bidi w:val="0"/>
        <w:ind w:left="0" w:leftChars="0" w:firstLine="0" w:firstLineChars="0"/>
        <w:rPr>
          <w:rFonts w:hint="default"/>
          <w:lang w:val="en-US" w:eastAsia="zh-CN"/>
        </w:rPr>
      </w:pPr>
      <w:r>
        <w:rPr>
          <w:rFonts w:hint="eastAsia"/>
          <w:lang w:val="en-US" w:eastAsia="zh-CN"/>
        </w:rPr>
        <w:t>耳带焊接模块</w:t>
      </w:r>
    </w:p>
    <w:p w14:paraId="1182E4D1">
      <w:pPr>
        <w:keepNext w:val="0"/>
        <w:keepLines w:val="0"/>
        <w:widowControl/>
        <w:suppressLineNumbers w:val="0"/>
        <w:ind w:left="0" w:leftChars="0" w:firstLine="0" w:firstLineChars="0"/>
        <w:jc w:val="center"/>
        <w:rPr>
          <w:rFonts w:hint="eastAsia" w:ascii="宋体" w:hAnsi="宋体" w:cs="宋体"/>
          <w:b w:val="0"/>
          <w:bCs w:val="0"/>
          <w:kern w:val="0"/>
          <w:sz w:val="24"/>
          <w:szCs w:val="16"/>
          <w:lang w:val="en-US" w:eastAsia="zh-CN" w:bidi="ar"/>
        </w:rPr>
      </w:pPr>
      <w:r>
        <w:rPr>
          <w:rFonts w:hint="eastAsia" w:ascii="宋体" w:hAnsi="宋体" w:cs="宋体"/>
          <w:b w:val="0"/>
          <w:bCs w:val="0"/>
          <w:kern w:val="0"/>
          <w:sz w:val="24"/>
          <w:szCs w:val="16"/>
          <w:lang w:val="en-US" w:eastAsia="zh-CN" w:bidi="ar"/>
        </w:rPr>
        <w:drawing>
          <wp:inline distT="0" distB="0" distL="114300" distR="114300">
            <wp:extent cx="3503930" cy="3286125"/>
            <wp:effectExtent l="0" t="0" r="1270" b="3175"/>
            <wp:docPr id="26" name="图片 26" descr="微信图片_20260123181709_31_4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微信图片_20260123181709_31_4254"/>
                    <pic:cNvPicPr>
                      <a:picLocks noChangeAspect="1"/>
                    </pic:cNvPicPr>
                  </pic:nvPicPr>
                  <pic:blipFill>
                    <a:blip r:embed="rId15"/>
                    <a:stretch>
                      <a:fillRect/>
                    </a:stretch>
                  </pic:blipFill>
                  <pic:spPr>
                    <a:xfrm>
                      <a:off x="0" y="0"/>
                      <a:ext cx="3503930" cy="3286125"/>
                    </a:xfrm>
                    <a:prstGeom prst="rect">
                      <a:avLst/>
                    </a:prstGeom>
                  </pic:spPr>
                </pic:pic>
              </a:graphicData>
            </a:graphic>
          </wp:inline>
        </w:drawing>
      </w:r>
    </w:p>
    <w:p w14:paraId="73B17EA8">
      <w:pPr>
        <w:keepNext w:val="0"/>
        <w:keepLines w:val="0"/>
        <w:widowControl/>
        <w:suppressLineNumbers w:val="0"/>
        <w:ind w:left="0" w:leftChars="0" w:firstLine="0" w:firstLineChars="0"/>
        <w:jc w:val="center"/>
        <w:rPr>
          <w:rFonts w:hint="eastAsia" w:ascii="宋体" w:hAnsi="宋体" w:eastAsia="宋体" w:cs="宋体"/>
          <w:kern w:val="0"/>
          <w:sz w:val="24"/>
          <w:szCs w:val="24"/>
          <w:lang w:val="en-US" w:eastAsia="zh-CN" w:bidi="ar"/>
        </w:rPr>
      </w:pPr>
      <w:r>
        <w:rPr>
          <w:rFonts w:hint="eastAsia" w:ascii="宋体" w:hAnsi="宋体" w:cs="宋体"/>
          <w:b w:val="0"/>
          <w:bCs w:val="0"/>
          <w:kern w:val="0"/>
          <w:sz w:val="24"/>
          <w:szCs w:val="16"/>
          <w:lang w:val="en-US" w:eastAsia="zh-CN" w:bidi="ar"/>
        </w:rPr>
        <w:t>图3</w:t>
      </w:r>
      <w:r>
        <w:rPr>
          <w:rFonts w:hint="eastAsia" w:ascii="宋体" w:hAnsi="宋体" w:eastAsia="宋体" w:cs="宋体"/>
          <w:b w:val="0"/>
          <w:bCs w:val="0"/>
          <w:kern w:val="0"/>
          <w:sz w:val="24"/>
          <w:szCs w:val="16"/>
          <w:lang w:val="en-US" w:eastAsia="zh-CN" w:bidi="ar"/>
        </w:rPr>
        <w:t>.</w:t>
      </w:r>
      <w:r>
        <w:rPr>
          <w:rFonts w:hint="eastAsia" w:ascii="宋体" w:hAnsi="宋体" w:cs="宋体"/>
          <w:b w:val="0"/>
          <w:bCs w:val="0"/>
          <w:kern w:val="0"/>
          <w:sz w:val="24"/>
          <w:szCs w:val="16"/>
          <w:lang w:val="en-US" w:eastAsia="zh-CN" w:bidi="ar"/>
        </w:rPr>
        <w:t xml:space="preserve">8 </w:t>
      </w:r>
      <w:r>
        <w:rPr>
          <w:rFonts w:hint="eastAsia"/>
          <w:lang w:val="en-US" w:eastAsia="zh-CN"/>
        </w:rPr>
        <w:t>耳带焊接</w:t>
      </w:r>
      <w:r>
        <w:rPr>
          <w:rFonts w:hint="eastAsia" w:ascii="宋体" w:hAnsi="宋体" w:eastAsia="宋体" w:cs="宋体"/>
          <w:sz w:val="24"/>
          <w:szCs w:val="24"/>
          <w:lang w:val="en-US" w:eastAsia="zh-CN"/>
        </w:rPr>
        <w:t>流程</w:t>
      </w:r>
    </w:p>
    <w:p w14:paraId="69865683">
      <w:pPr>
        <w:keepNext w:val="0"/>
        <w:keepLines w:val="0"/>
        <w:widowControl/>
        <w:suppressLineNumbers w:val="0"/>
        <w:jc w:val="left"/>
      </w:pPr>
      <w:r>
        <w:rPr>
          <w:rFonts w:ascii="宋体" w:hAnsi="宋体" w:eastAsia="宋体" w:cs="宋体"/>
          <w:kern w:val="0"/>
          <w:sz w:val="24"/>
          <w:szCs w:val="24"/>
          <w:lang w:val="en-US" w:eastAsia="zh-CN" w:bidi="ar"/>
        </w:rPr>
        <w:t>耳带焊接模块集成耳带送料、拉取、裁切与焊接四大核心功能，是保障口罩佩戴舒适性与牢固性的关键模块，其工作流程与图3.8所示耳带焊接流程一一对应，各环节协同联动，实现耳带加工与焊接的精准控制，与前文PLC多轴协同控制技术、凸轮点位动态计算技术深度适配。</w:t>
      </w:r>
    </w:p>
    <w:p w14:paraId="3BC1129D">
      <w:pPr>
        <w:keepNext w:val="0"/>
        <w:keepLines w:val="0"/>
        <w:widowControl/>
        <w:suppressLineNumbers w:val="0"/>
        <w:jc w:val="left"/>
      </w:pPr>
      <w:r>
        <w:rPr>
          <w:rFonts w:ascii="宋体" w:hAnsi="宋体" w:eastAsia="宋体" w:cs="宋体"/>
          <w:kern w:val="0"/>
          <w:sz w:val="24"/>
          <w:szCs w:val="24"/>
          <w:lang w:val="en-US" w:eastAsia="zh-CN" w:bidi="ar"/>
        </w:rPr>
        <w:t>耳带送料机构通过驱动轮与压紧轮的协同配合，将耳带从料盘平稳拉出，驱动轮转速可根据生产需求灵活调节；调节线轮通过重力感应实时检测耳带张紧度，自动调整位置，确保耳带始终处于适度张紧状态，避免因过松导致耳带褶皱、过紧导致耳带拉伸断裂。拉取机构采用旋转电机与夹爪气缸组合设计，旋转电机可带动夹爪气缸精准旋转180°拉取耳带，拉取长度误差≤1mm；剪耳带机构通过气缸驱动剪刀快速闭合，实现耳带的精准裁切，裁切动作响应迅速，与拉取动作同步衔接，避免出现耳带长度不均问题。</w:t>
      </w:r>
    </w:p>
    <w:p w14:paraId="43B88185">
      <w:pPr>
        <w:keepNext w:val="0"/>
        <w:keepLines w:val="0"/>
        <w:widowControl/>
        <w:suppressLineNumbers w:val="0"/>
        <w:ind w:left="0" w:leftChars="0" w:firstLine="0" w:firstLineChars="0"/>
        <w:jc w:val="center"/>
        <w:rPr>
          <w:rFonts w:hint="eastAsia" w:ascii="宋体" w:hAnsi="宋体" w:cs="宋体"/>
          <w:b w:val="0"/>
          <w:bCs w:val="0"/>
          <w:kern w:val="0"/>
          <w:sz w:val="24"/>
          <w:szCs w:val="16"/>
          <w:lang w:val="en-US" w:eastAsia="zh-CN" w:bidi="ar"/>
        </w:rPr>
      </w:pPr>
      <w:r>
        <w:rPr>
          <w:rFonts w:hint="eastAsia" w:ascii="宋体" w:hAnsi="宋体" w:cs="宋体"/>
          <w:b w:val="0"/>
          <w:bCs w:val="0"/>
          <w:kern w:val="0"/>
          <w:sz w:val="24"/>
          <w:szCs w:val="16"/>
          <w:lang w:val="en-US" w:eastAsia="zh-CN" w:bidi="ar"/>
        </w:rPr>
        <w:drawing>
          <wp:inline distT="0" distB="0" distL="114300" distR="114300">
            <wp:extent cx="3861435" cy="2922905"/>
            <wp:effectExtent l="0" t="0" r="12065" b="10795"/>
            <wp:docPr id="28" name="图片 28" descr="微信图片_20260123181704_28_4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微信图片_20260123181704_28_4254"/>
                    <pic:cNvPicPr>
                      <a:picLocks noChangeAspect="1"/>
                    </pic:cNvPicPr>
                  </pic:nvPicPr>
                  <pic:blipFill>
                    <a:blip r:embed="rId16"/>
                    <a:stretch>
                      <a:fillRect/>
                    </a:stretch>
                  </pic:blipFill>
                  <pic:spPr>
                    <a:xfrm>
                      <a:off x="0" y="0"/>
                      <a:ext cx="3861435" cy="2922905"/>
                    </a:xfrm>
                    <a:prstGeom prst="rect">
                      <a:avLst/>
                    </a:prstGeom>
                  </pic:spPr>
                </pic:pic>
              </a:graphicData>
            </a:graphic>
          </wp:inline>
        </w:drawing>
      </w:r>
    </w:p>
    <w:p w14:paraId="033C4A09">
      <w:pPr>
        <w:keepNext w:val="0"/>
        <w:keepLines w:val="0"/>
        <w:widowControl/>
        <w:suppressLineNumbers w:val="0"/>
        <w:ind w:left="0" w:leftChars="0" w:firstLine="0" w:firstLineChars="0"/>
        <w:jc w:val="center"/>
        <w:rPr>
          <w:rFonts w:ascii="宋体" w:hAnsi="宋体" w:eastAsia="宋体" w:cs="宋体"/>
          <w:sz w:val="24"/>
          <w:szCs w:val="24"/>
        </w:rPr>
      </w:pPr>
      <w:r>
        <w:rPr>
          <w:rFonts w:hint="eastAsia" w:ascii="宋体" w:hAnsi="宋体" w:cs="宋体"/>
          <w:b w:val="0"/>
          <w:bCs w:val="0"/>
          <w:kern w:val="0"/>
          <w:sz w:val="24"/>
          <w:szCs w:val="16"/>
          <w:lang w:val="en-US" w:eastAsia="zh-CN" w:bidi="ar"/>
        </w:rPr>
        <w:t>图3</w:t>
      </w:r>
      <w:r>
        <w:rPr>
          <w:rFonts w:hint="eastAsia" w:ascii="宋体" w:hAnsi="宋体" w:eastAsia="宋体" w:cs="宋体"/>
          <w:b w:val="0"/>
          <w:bCs w:val="0"/>
          <w:kern w:val="0"/>
          <w:sz w:val="24"/>
          <w:szCs w:val="16"/>
          <w:lang w:val="en-US" w:eastAsia="zh-CN" w:bidi="ar"/>
        </w:rPr>
        <w:t>.</w:t>
      </w:r>
      <w:r>
        <w:rPr>
          <w:rFonts w:hint="eastAsia" w:ascii="宋体" w:hAnsi="宋体" w:cs="宋体"/>
          <w:b w:val="0"/>
          <w:bCs w:val="0"/>
          <w:kern w:val="0"/>
          <w:sz w:val="24"/>
          <w:szCs w:val="16"/>
          <w:lang w:val="en-US" w:eastAsia="zh-CN" w:bidi="ar"/>
        </w:rPr>
        <w:t xml:space="preserve">9 </w:t>
      </w:r>
      <w:r>
        <w:rPr>
          <w:rFonts w:ascii="宋体" w:hAnsi="宋体" w:eastAsia="宋体" w:cs="宋体"/>
          <w:sz w:val="24"/>
          <w:szCs w:val="24"/>
        </w:rPr>
        <w:t>高速伺服点耳机构图</w:t>
      </w:r>
    </w:p>
    <w:p w14:paraId="2D0B20A0">
      <w:pPr>
        <w:keepNext w:val="0"/>
        <w:keepLines w:val="0"/>
        <w:widowControl/>
        <w:suppressLineNumbers w:val="0"/>
        <w:ind w:left="0" w:leftChars="0" w:firstLine="0" w:firstLineChars="0"/>
        <w:jc w:val="center"/>
        <w:rPr>
          <w:rFonts w:hint="eastAsia" w:ascii="宋体" w:hAnsi="宋体" w:cs="宋体"/>
          <w:b w:val="0"/>
          <w:bCs w:val="0"/>
          <w:kern w:val="0"/>
          <w:sz w:val="24"/>
          <w:szCs w:val="16"/>
          <w:lang w:val="en-US" w:eastAsia="zh-CN" w:bidi="ar"/>
        </w:rPr>
      </w:pPr>
      <w:r>
        <w:rPr>
          <w:rFonts w:hint="eastAsia" w:ascii="宋体" w:hAnsi="宋体" w:cs="宋体"/>
          <w:b w:val="0"/>
          <w:bCs w:val="0"/>
          <w:kern w:val="0"/>
          <w:sz w:val="24"/>
          <w:szCs w:val="16"/>
          <w:lang w:val="en-US" w:eastAsia="zh-CN" w:bidi="ar"/>
        </w:rPr>
        <w:drawing>
          <wp:inline distT="0" distB="0" distL="114300" distR="114300">
            <wp:extent cx="4187825" cy="3140710"/>
            <wp:effectExtent l="0" t="0" r="3175" b="8890"/>
            <wp:docPr id="36" name="图片 36" descr="微信图片_20260123181740_59_4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微信图片_20260123181740_59_4254"/>
                    <pic:cNvPicPr>
                      <a:picLocks noChangeAspect="1"/>
                    </pic:cNvPicPr>
                  </pic:nvPicPr>
                  <pic:blipFill>
                    <a:blip r:embed="rId17"/>
                    <a:stretch>
                      <a:fillRect/>
                    </a:stretch>
                  </pic:blipFill>
                  <pic:spPr>
                    <a:xfrm>
                      <a:off x="0" y="0"/>
                      <a:ext cx="4187825" cy="3140710"/>
                    </a:xfrm>
                    <a:prstGeom prst="rect">
                      <a:avLst/>
                    </a:prstGeom>
                  </pic:spPr>
                </pic:pic>
              </a:graphicData>
            </a:graphic>
          </wp:inline>
        </w:drawing>
      </w:r>
    </w:p>
    <w:p w14:paraId="5C8DB17C">
      <w:pPr>
        <w:keepNext w:val="0"/>
        <w:keepLines w:val="0"/>
        <w:widowControl/>
        <w:suppressLineNumbers w:val="0"/>
        <w:ind w:left="0" w:leftChars="0" w:firstLine="0" w:firstLineChars="0"/>
        <w:jc w:val="center"/>
        <w:rPr>
          <w:rFonts w:hint="eastAsia" w:ascii="宋体" w:hAnsi="宋体" w:eastAsia="宋体" w:cs="宋体"/>
          <w:sz w:val="24"/>
          <w:szCs w:val="24"/>
          <w:lang w:val="en-US" w:eastAsia="zh-CN"/>
        </w:rPr>
      </w:pPr>
      <w:r>
        <w:rPr>
          <w:rFonts w:hint="eastAsia" w:ascii="宋体" w:hAnsi="宋体" w:cs="宋体"/>
          <w:b w:val="0"/>
          <w:bCs w:val="0"/>
          <w:kern w:val="0"/>
          <w:sz w:val="24"/>
          <w:szCs w:val="16"/>
          <w:lang w:val="en-US" w:eastAsia="zh-CN" w:bidi="ar"/>
        </w:rPr>
        <w:t>图3</w:t>
      </w:r>
      <w:r>
        <w:rPr>
          <w:rFonts w:hint="eastAsia" w:ascii="宋体" w:hAnsi="宋体" w:eastAsia="宋体" w:cs="宋体"/>
          <w:b w:val="0"/>
          <w:bCs w:val="0"/>
          <w:kern w:val="0"/>
          <w:sz w:val="24"/>
          <w:szCs w:val="16"/>
          <w:lang w:val="en-US" w:eastAsia="zh-CN" w:bidi="ar"/>
        </w:rPr>
        <w:t>.</w:t>
      </w:r>
      <w:r>
        <w:rPr>
          <w:rFonts w:hint="eastAsia" w:ascii="宋体" w:hAnsi="宋体" w:cs="宋体"/>
          <w:b w:val="0"/>
          <w:bCs w:val="0"/>
          <w:kern w:val="0"/>
          <w:sz w:val="24"/>
          <w:szCs w:val="16"/>
          <w:lang w:val="en-US" w:eastAsia="zh-CN" w:bidi="ar"/>
        </w:rPr>
        <w:t xml:space="preserve">10 </w:t>
      </w:r>
      <w:r>
        <w:rPr>
          <w:rFonts w:ascii="宋体" w:hAnsi="宋体" w:eastAsia="宋体" w:cs="宋体"/>
          <w:sz w:val="24"/>
          <w:szCs w:val="24"/>
        </w:rPr>
        <w:t>手动界面</w:t>
      </w:r>
      <w:r>
        <w:rPr>
          <w:rFonts w:hint="eastAsia" w:ascii="宋体" w:hAnsi="宋体" w:eastAsia="宋体" w:cs="宋体"/>
          <w:sz w:val="24"/>
          <w:szCs w:val="24"/>
          <w:lang w:val="en-US" w:eastAsia="zh-CN"/>
        </w:rPr>
        <w:t>1</w:t>
      </w:r>
    </w:p>
    <w:p w14:paraId="5E2C8860">
      <w:pPr>
        <w:keepNext w:val="0"/>
        <w:keepLines w:val="0"/>
        <w:widowControl/>
        <w:suppressLineNumbers w:val="0"/>
        <w:jc w:val="left"/>
      </w:pPr>
      <w:r>
        <w:rPr>
          <w:rFonts w:ascii="宋体" w:hAnsi="宋体" w:eastAsia="宋体" w:cs="宋体"/>
          <w:kern w:val="0"/>
          <w:sz w:val="24"/>
          <w:szCs w:val="24"/>
          <w:lang w:val="en-US" w:eastAsia="zh-CN" w:bidi="ar"/>
        </w:rPr>
        <w:t>焊接机构采用高精度超声波焊接头，焊接稳定性强、牢固度高，可有效避免耳带焊接脱落问题；PLC精准控制焊头升降与焊接时间，焊接时间可在0.1-0.5s之间灵活调节，适配不同厚度的耳带与布料，经实测耳带焊接位置误差≤2mm，符合医疗级口罩的质量标准。该模块的结构设计与图3.9所示高速伺服点耳机构图高度一致，左右耳带焊接机构通过螺杆连接，可沿导轨同步运动，确保与布料前进速度精准匹配，实现无相对运动焊接，进一步提升焊接精度与稳定性。操作人员可通过图3.10所示手动界面1，手动控制焊接机构动作，方便设备调试与故障排查。</w:t>
      </w:r>
    </w:p>
    <w:p w14:paraId="61888F2E">
      <w:pPr>
        <w:pStyle w:val="4"/>
        <w:numPr>
          <w:ilvl w:val="0"/>
          <w:numId w:val="15"/>
        </w:numPr>
        <w:bidi w:val="0"/>
        <w:ind w:left="0" w:leftChars="0" w:firstLine="0" w:firstLineChars="0"/>
        <w:rPr>
          <w:rFonts w:hint="default"/>
          <w:lang w:val="en-US" w:eastAsia="zh-CN"/>
        </w:rPr>
      </w:pPr>
      <w:r>
        <w:rPr>
          <w:rFonts w:hint="eastAsia"/>
          <w:lang w:val="en-US" w:eastAsia="zh-CN"/>
        </w:rPr>
        <w:t>裁切与出料模块</w:t>
      </w:r>
    </w:p>
    <w:p w14:paraId="0CBD7C86">
      <w:pPr>
        <w:keepNext w:val="0"/>
        <w:keepLines w:val="0"/>
        <w:widowControl/>
        <w:suppressLineNumbers w:val="0"/>
        <w:ind w:left="0" w:leftChars="0" w:firstLine="0" w:firstLineChars="0"/>
        <w:jc w:val="center"/>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5265420" cy="3362325"/>
            <wp:effectExtent l="0" t="0" r="5080" b="3175"/>
            <wp:docPr id="2" name="图片 2" descr="微信图片_20260123181657_21_4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60123181657_21_4254"/>
                    <pic:cNvPicPr>
                      <a:picLocks noChangeAspect="1"/>
                    </pic:cNvPicPr>
                  </pic:nvPicPr>
                  <pic:blipFill>
                    <a:blip r:embed="rId18"/>
                    <a:stretch>
                      <a:fillRect/>
                    </a:stretch>
                  </pic:blipFill>
                  <pic:spPr>
                    <a:xfrm>
                      <a:off x="0" y="0"/>
                      <a:ext cx="5265420" cy="3362325"/>
                    </a:xfrm>
                    <a:prstGeom prst="rect">
                      <a:avLst/>
                    </a:prstGeom>
                  </pic:spPr>
                </pic:pic>
              </a:graphicData>
            </a:graphic>
          </wp:inline>
        </w:drawing>
      </w:r>
    </w:p>
    <w:p w14:paraId="6AFA9E5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ascii="宋体" w:hAnsi="宋体" w:eastAsia="宋体" w:cs="宋体"/>
          <w:kern w:val="0"/>
          <w:sz w:val="24"/>
          <w:szCs w:val="24"/>
          <w:lang w:val="en-US" w:eastAsia="zh-CN" w:bidi="ar"/>
        </w:rPr>
      </w:pPr>
      <w:r>
        <w:rPr>
          <w:rFonts w:hint="eastAsia" w:ascii="宋体" w:hAnsi="宋体" w:cs="宋体"/>
          <w:b w:val="0"/>
          <w:bCs w:val="0"/>
          <w:kern w:val="0"/>
          <w:sz w:val="24"/>
          <w:szCs w:val="16"/>
          <w:lang w:val="en-US" w:eastAsia="zh-CN" w:bidi="ar"/>
        </w:rPr>
        <w:t>图3</w:t>
      </w:r>
      <w:r>
        <w:rPr>
          <w:rFonts w:hint="eastAsia" w:ascii="宋体" w:hAnsi="宋体" w:eastAsia="宋体" w:cs="宋体"/>
          <w:b w:val="0"/>
          <w:bCs w:val="0"/>
          <w:kern w:val="0"/>
          <w:sz w:val="24"/>
          <w:szCs w:val="16"/>
          <w:lang w:val="en-US" w:eastAsia="zh-CN" w:bidi="ar"/>
        </w:rPr>
        <w:t>.</w:t>
      </w:r>
      <w:r>
        <w:rPr>
          <w:rFonts w:hint="eastAsia" w:ascii="宋体" w:hAnsi="宋体" w:cs="宋体"/>
          <w:b w:val="0"/>
          <w:bCs w:val="0"/>
          <w:kern w:val="0"/>
          <w:sz w:val="24"/>
          <w:szCs w:val="16"/>
          <w:lang w:val="en-US" w:eastAsia="zh-CN" w:bidi="ar"/>
        </w:rPr>
        <w:t>11</w:t>
      </w:r>
      <w:r>
        <w:rPr>
          <w:rFonts w:hint="eastAsia" w:ascii="宋体" w:hAnsi="宋体" w:eastAsia="宋体" w:cs="宋体"/>
          <w:b w:val="0"/>
          <w:bCs w:val="0"/>
          <w:kern w:val="0"/>
          <w:sz w:val="24"/>
          <w:szCs w:val="16"/>
          <w:lang w:val="en-US" w:eastAsia="zh-CN" w:bidi="ar"/>
        </w:rPr>
        <w:t xml:space="preserve"> </w:t>
      </w:r>
      <w:r>
        <w:rPr>
          <w:rFonts w:ascii="宋体" w:hAnsi="宋体" w:eastAsia="宋体" w:cs="宋体"/>
          <w:sz w:val="24"/>
          <w:szCs w:val="24"/>
        </w:rPr>
        <w:t>口罩切片、对折、焊耳等流程</w:t>
      </w:r>
    </w:p>
    <w:p w14:paraId="39CC3EAE">
      <w:pPr>
        <w:keepNext w:val="0"/>
        <w:keepLines w:val="0"/>
        <w:widowControl/>
        <w:suppressLineNumbers w:val="0"/>
        <w:jc w:val="left"/>
      </w:pPr>
      <w:r>
        <w:rPr>
          <w:rFonts w:ascii="宋体" w:hAnsi="宋体" w:eastAsia="宋体" w:cs="宋体"/>
          <w:kern w:val="0"/>
          <w:sz w:val="24"/>
          <w:szCs w:val="24"/>
          <w:lang w:val="en-US" w:eastAsia="zh-CN" w:bidi="ar"/>
        </w:rPr>
        <w:t>裁切与出料模块承担口罩折叠、裁切、翻耳带与成品出料、废料回收的关键职责，是生产流程的收尾环节，其工作流程涵盖图3.11所示口罩切片、对折、焊耳等全流程收尾工序，确保成品口罩成型规整、尺寸精准，同时实现废料的自动回收，提升原材料利用率。</w:t>
      </w:r>
    </w:p>
    <w:p w14:paraId="2DB1B4E8">
      <w:pPr>
        <w:keepNext w:val="0"/>
        <w:keepLines w:val="0"/>
        <w:widowControl/>
        <w:suppressLineNumbers w:val="0"/>
        <w:jc w:val="left"/>
      </w:pPr>
      <w:r>
        <w:rPr>
          <w:rFonts w:ascii="宋体" w:hAnsi="宋体" w:eastAsia="宋体" w:cs="宋体"/>
          <w:kern w:val="0"/>
          <w:sz w:val="24"/>
          <w:szCs w:val="24"/>
          <w:lang w:val="en-US" w:eastAsia="zh-CN" w:bidi="ar"/>
        </w:rPr>
        <w:t>口罩折叠机构将经过焊接、鼻梁条安装后的铺开布料精准对折，对折误差≤0.5mm，通过对辊滚筒平稳牵引至裁切工位；裁切工位采用滚切刀与超声波加热组合设计，滚切刀锋利耐磨，超声波加热可确保裁切边缘平整、无毛刺，PLC控制丝杆传动模组带动裁切机构往复运动，与口罩前进速度完全同步，裁切尺寸误差≤0.5mm，可灵活适配不同尺寸的口罩生产。</w:t>
      </w:r>
    </w:p>
    <w:p w14:paraId="48D7C90E">
      <w:pPr>
        <w:keepNext w:val="0"/>
        <w:keepLines w:val="0"/>
        <w:widowControl/>
        <w:suppressLineNumbers w:val="0"/>
        <w:ind w:left="0" w:leftChars="0" w:firstLine="0" w:firstLineChars="0"/>
        <w:jc w:val="center"/>
        <w:rPr>
          <w:rFonts w:hint="eastAsia" w:ascii="宋体" w:hAnsi="宋体" w:cs="宋体"/>
          <w:b w:val="0"/>
          <w:bCs w:val="0"/>
          <w:kern w:val="0"/>
          <w:sz w:val="24"/>
          <w:szCs w:val="16"/>
          <w:lang w:val="en-US" w:eastAsia="zh-CN" w:bidi="ar"/>
        </w:rPr>
      </w:pPr>
      <w:r>
        <w:rPr>
          <w:rFonts w:hint="eastAsia" w:ascii="宋体" w:hAnsi="宋体" w:cs="宋体"/>
          <w:b w:val="0"/>
          <w:bCs w:val="0"/>
          <w:kern w:val="0"/>
          <w:sz w:val="24"/>
          <w:szCs w:val="16"/>
          <w:lang w:val="en-US" w:eastAsia="zh-CN" w:bidi="ar"/>
        </w:rPr>
        <w:drawing>
          <wp:inline distT="0" distB="0" distL="114300" distR="114300">
            <wp:extent cx="3724275" cy="3148330"/>
            <wp:effectExtent l="0" t="0" r="9525" b="1270"/>
            <wp:docPr id="29" name="图片 29" descr="微信图片_20260123181706_29_4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微信图片_20260123181706_29_4254"/>
                    <pic:cNvPicPr>
                      <a:picLocks noChangeAspect="1"/>
                    </pic:cNvPicPr>
                  </pic:nvPicPr>
                  <pic:blipFill>
                    <a:blip r:embed="rId19"/>
                    <a:stretch>
                      <a:fillRect/>
                    </a:stretch>
                  </pic:blipFill>
                  <pic:spPr>
                    <a:xfrm>
                      <a:off x="0" y="0"/>
                      <a:ext cx="3724275" cy="3148330"/>
                    </a:xfrm>
                    <a:prstGeom prst="rect">
                      <a:avLst/>
                    </a:prstGeom>
                  </pic:spPr>
                </pic:pic>
              </a:graphicData>
            </a:graphic>
          </wp:inline>
        </w:drawing>
      </w:r>
    </w:p>
    <w:p w14:paraId="07C330D4">
      <w:pPr>
        <w:keepNext w:val="0"/>
        <w:keepLines w:val="0"/>
        <w:widowControl/>
        <w:suppressLineNumbers w:val="0"/>
        <w:ind w:left="0" w:leftChars="0" w:firstLine="0" w:firstLineChars="0"/>
        <w:jc w:val="center"/>
        <w:rPr>
          <w:rFonts w:ascii="宋体" w:hAnsi="宋体" w:eastAsia="宋体" w:cs="宋体"/>
          <w:kern w:val="0"/>
          <w:sz w:val="24"/>
          <w:szCs w:val="24"/>
          <w:lang w:val="en-US" w:eastAsia="zh-CN" w:bidi="ar"/>
        </w:rPr>
      </w:pPr>
      <w:r>
        <w:rPr>
          <w:rFonts w:hint="eastAsia" w:ascii="宋体" w:hAnsi="宋体" w:cs="宋体"/>
          <w:b w:val="0"/>
          <w:bCs w:val="0"/>
          <w:kern w:val="0"/>
          <w:sz w:val="24"/>
          <w:szCs w:val="16"/>
          <w:lang w:val="en-US" w:eastAsia="zh-CN" w:bidi="ar"/>
        </w:rPr>
        <w:t>图3</w:t>
      </w:r>
      <w:r>
        <w:rPr>
          <w:rFonts w:hint="eastAsia" w:ascii="宋体" w:hAnsi="宋体" w:eastAsia="宋体" w:cs="宋体"/>
          <w:b w:val="0"/>
          <w:bCs w:val="0"/>
          <w:kern w:val="0"/>
          <w:sz w:val="24"/>
          <w:szCs w:val="16"/>
          <w:lang w:val="en-US" w:eastAsia="zh-CN" w:bidi="ar"/>
        </w:rPr>
        <w:t>.</w:t>
      </w:r>
      <w:r>
        <w:rPr>
          <w:rFonts w:hint="eastAsia" w:ascii="宋体" w:hAnsi="宋体" w:cs="宋体"/>
          <w:b w:val="0"/>
          <w:bCs w:val="0"/>
          <w:kern w:val="0"/>
          <w:sz w:val="24"/>
          <w:szCs w:val="16"/>
          <w:lang w:val="en-US" w:eastAsia="zh-CN" w:bidi="ar"/>
        </w:rPr>
        <w:t>12</w:t>
      </w:r>
      <w:r>
        <w:rPr>
          <w:rFonts w:hint="eastAsia" w:ascii="宋体" w:hAnsi="宋体" w:eastAsia="宋体" w:cs="宋体"/>
          <w:b w:val="0"/>
          <w:bCs w:val="0"/>
          <w:kern w:val="0"/>
          <w:sz w:val="24"/>
          <w:szCs w:val="16"/>
          <w:lang w:val="en-US" w:eastAsia="zh-CN" w:bidi="ar"/>
        </w:rPr>
        <w:t xml:space="preserve"> </w:t>
      </w:r>
      <w:r>
        <w:rPr>
          <w:rFonts w:ascii="宋体" w:hAnsi="宋体" w:eastAsia="宋体" w:cs="宋体"/>
          <w:sz w:val="24"/>
          <w:szCs w:val="24"/>
        </w:rPr>
        <w:t>750W伺服封边图</w:t>
      </w:r>
    </w:p>
    <w:p w14:paraId="30B6FB0E">
      <w:pPr>
        <w:keepNext w:val="0"/>
        <w:keepLines w:val="0"/>
        <w:widowControl/>
        <w:suppressLineNumbers w:val="0"/>
        <w:ind w:left="0" w:leftChars="0" w:firstLine="0" w:firstLineChars="0"/>
        <w:jc w:val="center"/>
        <w:rPr>
          <w:rFonts w:hint="eastAsia" w:ascii="宋体" w:hAnsi="宋体" w:cs="宋体"/>
          <w:b w:val="0"/>
          <w:bCs w:val="0"/>
          <w:kern w:val="0"/>
          <w:sz w:val="24"/>
          <w:szCs w:val="16"/>
          <w:lang w:val="en-US" w:eastAsia="zh-CN" w:bidi="ar"/>
        </w:rPr>
      </w:pPr>
      <w:r>
        <w:rPr>
          <w:rFonts w:hint="eastAsia" w:ascii="宋体" w:hAnsi="宋体" w:cs="宋体"/>
          <w:b w:val="0"/>
          <w:bCs w:val="0"/>
          <w:kern w:val="0"/>
          <w:sz w:val="24"/>
          <w:szCs w:val="16"/>
          <w:lang w:val="en-US" w:eastAsia="zh-CN" w:bidi="ar"/>
        </w:rPr>
        <w:drawing>
          <wp:inline distT="0" distB="0" distL="114300" distR="114300">
            <wp:extent cx="3658870" cy="3435985"/>
            <wp:effectExtent l="0" t="0" r="11430" b="5715"/>
            <wp:docPr id="10" name="图片 10" descr="微信图片_20260123181702_26_4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微信图片_20260123181702_26_4254"/>
                    <pic:cNvPicPr>
                      <a:picLocks noChangeAspect="1"/>
                    </pic:cNvPicPr>
                  </pic:nvPicPr>
                  <pic:blipFill>
                    <a:blip r:embed="rId20"/>
                    <a:stretch>
                      <a:fillRect/>
                    </a:stretch>
                  </pic:blipFill>
                  <pic:spPr>
                    <a:xfrm>
                      <a:off x="0" y="0"/>
                      <a:ext cx="3658870" cy="3435985"/>
                    </a:xfrm>
                    <a:prstGeom prst="rect">
                      <a:avLst/>
                    </a:prstGeom>
                  </pic:spPr>
                </pic:pic>
              </a:graphicData>
            </a:graphic>
          </wp:inline>
        </w:drawing>
      </w:r>
    </w:p>
    <w:p w14:paraId="720D0FAE">
      <w:pPr>
        <w:keepNext w:val="0"/>
        <w:keepLines w:val="0"/>
        <w:widowControl/>
        <w:suppressLineNumbers w:val="0"/>
        <w:ind w:left="0" w:leftChars="0" w:firstLine="0" w:firstLineChars="0"/>
        <w:jc w:val="center"/>
        <w:rPr>
          <w:rFonts w:ascii="宋体" w:hAnsi="宋体" w:eastAsia="宋体" w:cs="宋体"/>
          <w:kern w:val="0"/>
          <w:sz w:val="24"/>
          <w:szCs w:val="24"/>
          <w:lang w:val="en-US" w:eastAsia="zh-CN" w:bidi="ar"/>
        </w:rPr>
      </w:pPr>
      <w:r>
        <w:rPr>
          <w:rFonts w:hint="eastAsia" w:ascii="宋体" w:hAnsi="宋体" w:cs="宋体"/>
          <w:b w:val="0"/>
          <w:bCs w:val="0"/>
          <w:kern w:val="0"/>
          <w:sz w:val="24"/>
          <w:szCs w:val="16"/>
          <w:lang w:val="en-US" w:eastAsia="zh-CN" w:bidi="ar"/>
        </w:rPr>
        <w:t>图3</w:t>
      </w:r>
      <w:r>
        <w:rPr>
          <w:rFonts w:hint="eastAsia" w:ascii="宋体" w:hAnsi="宋体" w:eastAsia="宋体" w:cs="宋体"/>
          <w:b w:val="0"/>
          <w:bCs w:val="0"/>
          <w:kern w:val="0"/>
          <w:sz w:val="24"/>
          <w:szCs w:val="16"/>
          <w:lang w:val="en-US" w:eastAsia="zh-CN" w:bidi="ar"/>
        </w:rPr>
        <w:t>.</w:t>
      </w:r>
      <w:r>
        <w:rPr>
          <w:rFonts w:hint="eastAsia" w:ascii="宋体" w:hAnsi="宋体" w:cs="宋体"/>
          <w:b w:val="0"/>
          <w:bCs w:val="0"/>
          <w:kern w:val="0"/>
          <w:sz w:val="24"/>
          <w:szCs w:val="16"/>
          <w:lang w:val="en-US" w:eastAsia="zh-CN" w:bidi="ar"/>
        </w:rPr>
        <w:t>13</w:t>
      </w:r>
      <w:r>
        <w:rPr>
          <w:rFonts w:hint="eastAsia" w:ascii="宋体" w:hAnsi="宋体" w:eastAsia="宋体" w:cs="宋体"/>
          <w:b w:val="0"/>
          <w:bCs w:val="0"/>
          <w:kern w:val="0"/>
          <w:sz w:val="24"/>
          <w:szCs w:val="16"/>
          <w:lang w:val="en-US" w:eastAsia="zh-CN" w:bidi="ar"/>
        </w:rPr>
        <w:t xml:space="preserve"> </w:t>
      </w:r>
      <w:r>
        <w:rPr>
          <w:rFonts w:ascii="宋体" w:hAnsi="宋体" w:eastAsia="宋体" w:cs="宋体"/>
          <w:sz w:val="24"/>
          <w:szCs w:val="24"/>
        </w:rPr>
        <w:t>口罩折叠、成型切刀、废料回收</w:t>
      </w:r>
    </w:p>
    <w:p w14:paraId="440F3C16">
      <w:pPr>
        <w:keepNext w:val="0"/>
        <w:keepLines w:val="0"/>
        <w:widowControl/>
        <w:suppressLineNumbers w:val="0"/>
        <w:jc w:val="left"/>
      </w:pPr>
      <w:r>
        <w:rPr>
          <w:rFonts w:ascii="宋体" w:hAnsi="宋体" w:eastAsia="宋体" w:cs="宋体"/>
          <w:kern w:val="0"/>
          <w:sz w:val="24"/>
          <w:szCs w:val="24"/>
          <w:lang w:val="en-US" w:eastAsia="zh-CN" w:bidi="ar"/>
        </w:rPr>
        <w:t>封边环节采用750W伺服驱动，与图3.12所示750W伺服封边图的控制逻辑一致，伺服电机的精准驱动可确保封边压力均匀、封边牢固，避免出现封边开裂问题。翻耳带工位通过专用机构将朝下的耳带翻至上方，确保成品口罩耳带位置正确、对称，满足佩戴需求；出料模块通过驱动滚筒与出料带的协同作用，将成品口罩平稳送出，送至指定收集位置，同时收废料机构将裁切产生的边角废料自动排出、收集，与图3.13所示口罩折叠、成型切刀、废料回收结构精准适配，减少原材料浪费，降低人工清理成本。此外，PLC实时统计成品产量与废料数量，相关数据同步显示在触摸屏上，方便操作人员实时掌握生产动态与原材料消耗情况。</w:t>
      </w:r>
    </w:p>
    <w:p w14:paraId="64F563A7">
      <w:pPr>
        <w:keepNext w:val="0"/>
        <w:keepLines w:val="0"/>
        <w:widowControl/>
        <w:suppressLineNumbers w:val="0"/>
        <w:ind w:left="0" w:leftChars="0" w:firstLine="0" w:firstLineChars="0"/>
        <w:jc w:val="center"/>
        <w:rPr>
          <w:rFonts w:hint="eastAsia" w:ascii="宋体" w:hAnsi="宋体" w:cs="宋体"/>
          <w:b w:val="0"/>
          <w:bCs w:val="0"/>
          <w:kern w:val="0"/>
          <w:sz w:val="24"/>
          <w:szCs w:val="16"/>
          <w:lang w:val="en-US" w:eastAsia="zh-CN" w:bidi="ar"/>
        </w:rPr>
      </w:pPr>
      <w:r>
        <w:rPr>
          <w:rFonts w:hint="eastAsia" w:ascii="宋体" w:hAnsi="宋体" w:cs="宋体"/>
          <w:b w:val="0"/>
          <w:bCs w:val="0"/>
          <w:kern w:val="0"/>
          <w:sz w:val="24"/>
          <w:szCs w:val="16"/>
          <w:lang w:val="en-US" w:eastAsia="zh-CN" w:bidi="ar"/>
        </w:rPr>
        <w:drawing>
          <wp:inline distT="0" distB="0" distL="114300" distR="114300">
            <wp:extent cx="5266690" cy="2017395"/>
            <wp:effectExtent l="0" t="0" r="3810" b="1905"/>
            <wp:docPr id="5" name="图片 5" descr="微信图片_20260123181659_23_4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图片_20260123181659_23_4254"/>
                    <pic:cNvPicPr>
                      <a:picLocks noChangeAspect="1"/>
                    </pic:cNvPicPr>
                  </pic:nvPicPr>
                  <pic:blipFill>
                    <a:blip r:embed="rId21"/>
                    <a:stretch>
                      <a:fillRect/>
                    </a:stretch>
                  </pic:blipFill>
                  <pic:spPr>
                    <a:xfrm>
                      <a:off x="0" y="0"/>
                      <a:ext cx="5266690" cy="2017395"/>
                    </a:xfrm>
                    <a:prstGeom prst="rect">
                      <a:avLst/>
                    </a:prstGeom>
                  </pic:spPr>
                </pic:pic>
              </a:graphicData>
            </a:graphic>
          </wp:inline>
        </w:drawing>
      </w:r>
    </w:p>
    <w:p w14:paraId="4E93FAEE">
      <w:pPr>
        <w:keepNext w:val="0"/>
        <w:keepLines w:val="0"/>
        <w:widowControl/>
        <w:suppressLineNumbers w:val="0"/>
        <w:ind w:left="0" w:leftChars="0" w:firstLine="0" w:firstLineChars="0"/>
        <w:jc w:val="center"/>
        <w:rPr>
          <w:rFonts w:ascii="宋体" w:hAnsi="宋体" w:eastAsia="宋体" w:cs="宋体"/>
          <w:sz w:val="24"/>
          <w:szCs w:val="24"/>
        </w:rPr>
      </w:pPr>
      <w:r>
        <w:rPr>
          <w:rFonts w:hint="eastAsia" w:ascii="宋体" w:hAnsi="宋体" w:cs="宋体"/>
          <w:b w:val="0"/>
          <w:bCs w:val="0"/>
          <w:kern w:val="0"/>
          <w:sz w:val="24"/>
          <w:szCs w:val="16"/>
          <w:lang w:val="en-US" w:eastAsia="zh-CN" w:bidi="ar"/>
        </w:rPr>
        <w:t>图3</w:t>
      </w:r>
      <w:r>
        <w:rPr>
          <w:rFonts w:hint="eastAsia" w:ascii="宋体" w:hAnsi="宋体" w:eastAsia="宋体" w:cs="宋体"/>
          <w:b w:val="0"/>
          <w:bCs w:val="0"/>
          <w:kern w:val="0"/>
          <w:sz w:val="24"/>
          <w:szCs w:val="16"/>
          <w:lang w:val="en-US" w:eastAsia="zh-CN" w:bidi="ar"/>
        </w:rPr>
        <w:t>.</w:t>
      </w:r>
      <w:r>
        <w:rPr>
          <w:rFonts w:hint="eastAsia" w:ascii="宋体" w:hAnsi="宋体" w:cs="宋体"/>
          <w:b w:val="0"/>
          <w:bCs w:val="0"/>
          <w:kern w:val="0"/>
          <w:sz w:val="24"/>
          <w:szCs w:val="16"/>
          <w:lang w:val="en-US" w:eastAsia="zh-CN" w:bidi="ar"/>
        </w:rPr>
        <w:t>14</w:t>
      </w:r>
      <w:r>
        <w:rPr>
          <w:rFonts w:hint="eastAsia" w:ascii="宋体" w:hAnsi="宋体" w:eastAsia="宋体" w:cs="宋体"/>
          <w:b w:val="0"/>
          <w:bCs w:val="0"/>
          <w:kern w:val="0"/>
          <w:sz w:val="24"/>
          <w:szCs w:val="16"/>
          <w:lang w:val="en-US" w:eastAsia="zh-CN" w:bidi="ar"/>
        </w:rPr>
        <w:t xml:space="preserve"> </w:t>
      </w:r>
      <w:r>
        <w:rPr>
          <w:rFonts w:ascii="宋体" w:hAnsi="宋体" w:eastAsia="宋体" w:cs="宋体"/>
          <w:sz w:val="24"/>
          <w:szCs w:val="24"/>
        </w:rPr>
        <w:t>口罩全产业链流程：生产-检测-装箱</w:t>
      </w:r>
    </w:p>
    <w:p w14:paraId="234EEB0C">
      <w:pPr>
        <w:keepNext w:val="0"/>
        <w:keepLines w:val="0"/>
        <w:widowControl/>
        <w:suppressLineNumbers w:val="0"/>
        <w:jc w:val="left"/>
        <w:rPr>
          <w:rFonts w:hint="default" w:ascii="宋体" w:hAnsi="宋体" w:eastAsia="宋体" w:cs="宋体"/>
          <w:sz w:val="24"/>
          <w:szCs w:val="24"/>
          <w:lang w:val="en-US" w:eastAsia="zh-CN"/>
        </w:rPr>
      </w:pPr>
      <w:r>
        <w:rPr>
          <w:rFonts w:ascii="宋体" w:hAnsi="宋体" w:eastAsia="宋体" w:cs="宋体"/>
          <w:kern w:val="0"/>
          <w:sz w:val="24"/>
          <w:szCs w:val="24"/>
          <w:lang w:val="en-US" w:eastAsia="zh-CN" w:bidi="ar"/>
        </w:rPr>
        <w:t>该模块的出料环节与图3.14所示口罩全产业链流程中的生产收尾环节无缝衔接，为后续检测、装箱工序提供规整、合格的成品口罩，确保全产业链流程的顺畅运转，提升整体生产效率。</w:t>
      </w:r>
    </w:p>
    <w:p w14:paraId="104BDBB2">
      <w:pPr>
        <w:pStyle w:val="4"/>
        <w:numPr>
          <w:ilvl w:val="0"/>
          <w:numId w:val="15"/>
        </w:numPr>
        <w:bidi w:val="0"/>
        <w:ind w:left="0" w:leftChars="0" w:firstLine="0" w:firstLineChars="0"/>
        <w:rPr>
          <w:rFonts w:hint="default"/>
          <w:lang w:val="en-US" w:eastAsia="zh-CN"/>
        </w:rPr>
      </w:pPr>
      <w:r>
        <w:rPr>
          <w:rFonts w:hint="eastAsia"/>
          <w:lang w:val="en-US" w:eastAsia="zh-CN"/>
        </w:rPr>
        <w:t>控制系统模块</w:t>
      </w:r>
    </w:p>
    <w:p w14:paraId="51BD04A0">
      <w:pPr>
        <w:keepNext w:val="0"/>
        <w:keepLines w:val="0"/>
        <w:widowControl/>
        <w:suppressLineNumbers w:val="0"/>
        <w:jc w:val="left"/>
      </w:pPr>
      <w:r>
        <w:rPr>
          <w:rFonts w:ascii="宋体" w:hAnsi="宋体" w:eastAsia="宋体" w:cs="宋体"/>
          <w:kern w:val="0"/>
          <w:sz w:val="24"/>
          <w:szCs w:val="24"/>
          <w:lang w:val="en-US" w:eastAsia="zh-CN" w:bidi="ar"/>
        </w:rPr>
        <w:t>控制系统模块是整个设备的“核心指挥中心”，整合前文硬件架构中的PLC配置，实现各模块的协同控制、逻辑调度与数据管理，确保全流程生产高效、精准、稳定，与各功能模块形成深度适配，构建完整的控制体系。</w:t>
      </w:r>
    </w:p>
    <w:p w14:paraId="3C329786">
      <w:pPr>
        <w:keepNext w:val="0"/>
        <w:keepLines w:val="0"/>
        <w:widowControl/>
        <w:suppressLineNumbers w:val="0"/>
        <w:jc w:val="left"/>
      </w:pPr>
      <w:r>
        <w:rPr>
          <w:rFonts w:ascii="宋体" w:hAnsi="宋体" w:eastAsia="宋体" w:cs="宋体"/>
          <w:kern w:val="0"/>
          <w:sz w:val="24"/>
          <w:szCs w:val="24"/>
          <w:lang w:val="en-US" w:eastAsia="zh-CN" w:bidi="ar"/>
        </w:rPr>
        <w:t>该模块以信捷XDH-60T4-E作为主PLC，承担核心控制职责，负责整合布料处理、鼻梁条安装、耳带焊接、裁切出料等所有功能模块的控制信号，实现全流程生产逻辑控制、多轴协同调度、参数计算与故障处理，是整个控制系统的核心中枢。西门子SMART200专门负责控制五轴移载搬运机构，精准完成成品口罩的搬运与堆叠，堆叠精度≤1mm，避免成品口罩损坏或错位；西门子1200通过PN总线控制V90伺服电机，实现移载搬运过程中的精准取料与下料，与主PLC协同联动，确保搬运动作与生产速度同步。</w:t>
      </w:r>
    </w:p>
    <w:p w14:paraId="40BBF8A0">
      <w:pPr>
        <w:keepNext w:val="0"/>
        <w:keepLines w:val="0"/>
        <w:widowControl/>
        <w:suppressLineNumbers w:val="0"/>
        <w:jc w:val="left"/>
      </w:pPr>
      <w:r>
        <w:rPr>
          <w:rFonts w:ascii="宋体" w:hAnsi="宋体" w:eastAsia="宋体" w:cs="宋体"/>
          <w:kern w:val="0"/>
          <w:sz w:val="24"/>
          <w:szCs w:val="24"/>
          <w:lang w:val="en-US" w:eastAsia="zh-CN" w:bidi="ar"/>
        </w:rPr>
        <w:t>触摸屏作为控制系统的人机交互核心，提供可视化操作界面，涵盖四大核心功能：生产参数设置，可灵活调整生产速度、口罩尺寸、布料层数等关键参数；设备状态监控，实时显示各伺服轴运行状态、传感器信号、各模块工作状态，便于操作人员及时掌握设备动态；故障报警，当出现缺料、限位异常、通讯故障等问题时，立即触发报警并显示故障信息；数据统计，自动统计生产产量、产品合格率、设备运行时间等核心数据，为生产管理提供数据支撑。同时，系统支持参数保存与调用功能，可存储10种不同规格口罩的生产参数，无需重复设置，方便快速换型，提升生产效率。</w:t>
      </w:r>
    </w:p>
    <w:p w14:paraId="3D6A9D22">
      <w:pPr>
        <w:pStyle w:val="4"/>
        <w:numPr>
          <w:ilvl w:val="0"/>
          <w:numId w:val="15"/>
        </w:numPr>
        <w:bidi w:val="0"/>
        <w:ind w:left="0" w:leftChars="0" w:firstLine="0" w:firstLineChars="0"/>
        <w:rPr>
          <w:rFonts w:hint="default"/>
          <w:lang w:val="en-US" w:eastAsia="zh-CN"/>
        </w:rPr>
      </w:pPr>
      <w:r>
        <w:rPr>
          <w:rFonts w:hint="eastAsia"/>
          <w:lang w:val="en-US" w:eastAsia="zh-CN"/>
        </w:rPr>
        <w:t>人机交互模块</w:t>
      </w:r>
    </w:p>
    <w:p w14:paraId="51A60143">
      <w:pPr>
        <w:keepNext w:val="0"/>
        <w:keepLines w:val="0"/>
        <w:widowControl/>
        <w:suppressLineNumbers w:val="0"/>
        <w:jc w:val="left"/>
      </w:pPr>
      <w:r>
        <w:rPr>
          <w:rFonts w:ascii="宋体" w:hAnsi="宋体" w:eastAsia="宋体" w:cs="宋体"/>
          <w:kern w:val="0"/>
          <w:sz w:val="24"/>
          <w:szCs w:val="24"/>
          <w:lang w:val="en-US" w:eastAsia="zh-CN" w:bidi="ar"/>
        </w:rPr>
        <w:t>人机交互模块采用双触摸屏配置，构建“主操作+辅助监控”的双重交互模式，适配设备不同工位、不同场景下的操作需求，操作便捷、响应迅速，同时具备良好的环境适应性，契合车间复杂的生产环境，与控制系统模块深度联动，实现数据实时同步与精准控制。</w:t>
      </w:r>
    </w:p>
    <w:p w14:paraId="1D4BF2F8">
      <w:pPr>
        <w:keepNext w:val="0"/>
        <w:keepLines w:val="0"/>
        <w:widowControl/>
        <w:suppressLineNumbers w:val="0"/>
        <w:jc w:val="left"/>
      </w:pPr>
      <w:r>
        <w:rPr>
          <w:rFonts w:ascii="宋体" w:hAnsi="宋体" w:eastAsia="宋体" w:cs="宋体"/>
          <w:kern w:val="0"/>
          <w:sz w:val="24"/>
          <w:szCs w:val="24"/>
          <w:lang w:val="en-US" w:eastAsia="zh-CN" w:bidi="ar"/>
        </w:rPr>
        <w:t>该模块配备TG765S-XT与MT807IP两款7寸彩色触摸屏，其中TG765S-XT触摸屏安装于设备主操作面板，分辨率达800×480，显示清晰、操作便捷，支持生产参数设置、手动操作、故障报警等核心功能；其触摸响应时间≤5ms，操作延迟低，同时具备IP65防护等级的防水防尘设计，可有效抵御车间粉尘、轻微水汽的侵蚀，确保长期稳定运行。</w:t>
      </w:r>
    </w:p>
    <w:p w14:paraId="69EF8077">
      <w:pPr>
        <w:keepNext w:val="0"/>
        <w:keepLines w:val="0"/>
        <w:widowControl/>
        <w:suppressLineNumbers w:val="0"/>
        <w:ind w:left="0" w:leftChars="0" w:firstLine="0" w:firstLineChars="0"/>
        <w:jc w:val="center"/>
        <w:rPr>
          <w:rFonts w:hint="eastAsia" w:ascii="宋体" w:hAnsi="宋体" w:cs="宋体"/>
          <w:b w:val="0"/>
          <w:bCs w:val="0"/>
          <w:kern w:val="0"/>
          <w:sz w:val="24"/>
          <w:szCs w:val="16"/>
          <w:lang w:val="en-US" w:eastAsia="zh-CN" w:bidi="ar"/>
        </w:rPr>
      </w:pPr>
      <w:r>
        <w:rPr>
          <w:rFonts w:hint="eastAsia" w:ascii="宋体" w:hAnsi="宋体" w:cs="宋体"/>
          <w:b w:val="0"/>
          <w:bCs w:val="0"/>
          <w:kern w:val="0"/>
          <w:sz w:val="24"/>
          <w:szCs w:val="16"/>
          <w:lang w:val="en-US" w:eastAsia="zh-CN" w:bidi="ar"/>
        </w:rPr>
        <w:drawing>
          <wp:inline distT="0" distB="0" distL="114300" distR="114300">
            <wp:extent cx="4218305" cy="3163570"/>
            <wp:effectExtent l="0" t="0" r="10795" b="11430"/>
            <wp:docPr id="35" name="图片 35" descr="微信图片_20260123181735_54_4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微信图片_20260123181735_54_4254"/>
                    <pic:cNvPicPr>
                      <a:picLocks noChangeAspect="1"/>
                    </pic:cNvPicPr>
                  </pic:nvPicPr>
                  <pic:blipFill>
                    <a:blip r:embed="rId22"/>
                    <a:stretch>
                      <a:fillRect/>
                    </a:stretch>
                  </pic:blipFill>
                  <pic:spPr>
                    <a:xfrm>
                      <a:off x="0" y="0"/>
                      <a:ext cx="4218305" cy="3163570"/>
                    </a:xfrm>
                    <a:prstGeom prst="rect">
                      <a:avLst/>
                    </a:prstGeom>
                  </pic:spPr>
                </pic:pic>
              </a:graphicData>
            </a:graphic>
          </wp:inline>
        </w:drawing>
      </w:r>
    </w:p>
    <w:p w14:paraId="2189B7EB">
      <w:pPr>
        <w:keepNext w:val="0"/>
        <w:keepLines w:val="0"/>
        <w:widowControl/>
        <w:suppressLineNumbers w:val="0"/>
        <w:ind w:left="0" w:leftChars="0" w:firstLine="0" w:firstLineChars="0"/>
        <w:jc w:val="center"/>
        <w:rPr>
          <w:rFonts w:hint="eastAsia" w:ascii="宋体" w:hAnsi="宋体" w:eastAsia="宋体" w:cs="宋体"/>
          <w:kern w:val="0"/>
          <w:sz w:val="24"/>
          <w:szCs w:val="24"/>
          <w:lang w:val="en-US" w:eastAsia="zh-CN" w:bidi="ar"/>
        </w:rPr>
      </w:pPr>
      <w:r>
        <w:rPr>
          <w:rFonts w:hint="eastAsia" w:ascii="宋体" w:hAnsi="宋体" w:cs="宋体"/>
          <w:b w:val="0"/>
          <w:bCs w:val="0"/>
          <w:kern w:val="0"/>
          <w:sz w:val="24"/>
          <w:szCs w:val="16"/>
          <w:lang w:val="en-US" w:eastAsia="zh-CN" w:bidi="ar"/>
        </w:rPr>
        <w:t>图3</w:t>
      </w:r>
      <w:r>
        <w:rPr>
          <w:rFonts w:hint="eastAsia" w:ascii="宋体" w:hAnsi="宋体" w:eastAsia="宋体" w:cs="宋体"/>
          <w:b w:val="0"/>
          <w:bCs w:val="0"/>
          <w:kern w:val="0"/>
          <w:sz w:val="24"/>
          <w:szCs w:val="16"/>
          <w:lang w:val="en-US" w:eastAsia="zh-CN" w:bidi="ar"/>
        </w:rPr>
        <w:t>.</w:t>
      </w:r>
      <w:r>
        <w:rPr>
          <w:rFonts w:hint="eastAsia" w:ascii="宋体" w:hAnsi="宋体" w:cs="宋体"/>
          <w:b w:val="0"/>
          <w:bCs w:val="0"/>
          <w:kern w:val="0"/>
          <w:sz w:val="24"/>
          <w:szCs w:val="16"/>
          <w:lang w:val="en-US" w:eastAsia="zh-CN" w:bidi="ar"/>
        </w:rPr>
        <w:t xml:space="preserve">15 </w:t>
      </w:r>
      <w:r>
        <w:rPr>
          <w:rFonts w:ascii="宋体" w:hAnsi="宋体" w:eastAsia="宋体" w:cs="宋体"/>
          <w:sz w:val="24"/>
          <w:szCs w:val="24"/>
        </w:rPr>
        <w:t>手动界面</w:t>
      </w:r>
      <w:r>
        <w:rPr>
          <w:rFonts w:hint="eastAsia" w:ascii="宋体" w:hAnsi="宋体" w:eastAsia="宋体" w:cs="宋体"/>
          <w:sz w:val="24"/>
          <w:szCs w:val="24"/>
          <w:lang w:val="en-US" w:eastAsia="zh-CN"/>
        </w:rPr>
        <w:t>2</w:t>
      </w:r>
    </w:p>
    <w:p w14:paraId="7A0694FB">
      <w:pPr>
        <w:keepNext w:val="0"/>
        <w:keepLines w:val="0"/>
        <w:widowControl/>
        <w:suppressLineNumbers w:val="0"/>
        <w:jc w:val="left"/>
      </w:pPr>
      <w:r>
        <w:rPr>
          <w:rFonts w:ascii="宋体" w:hAnsi="宋体" w:eastAsia="宋体" w:cs="宋体"/>
          <w:kern w:val="0"/>
          <w:sz w:val="24"/>
          <w:szCs w:val="24"/>
          <w:lang w:val="en-US" w:eastAsia="zh-CN" w:bidi="ar"/>
        </w:rPr>
        <w:t>MT807IP触摸屏安装于移栽搬运段面板，专注于物料转运状态监控、移栽参数调整与故障查看，与主触摸屏数据实时同步，支持异地操作与状态查看，操作人员可在不同工位灵活管控设备，无需频繁往返主操作面板，提升操作效率。图3.15所示手动界面2为该触摸屏的核心操作界面之一，可实现移栽搬运相关的手动操作与参数调试，方便设备维护。两款触摸屏均配备RS485与以太网接口，可直接与PLC实现高速通讯，参数修改响应时间≤10ms，确保设置参数实时生效，避免因通讯延迟导致生产故障。</w:t>
      </w:r>
    </w:p>
    <w:p w14:paraId="51565B58">
      <w:pPr>
        <w:keepNext w:val="0"/>
        <w:keepLines w:val="0"/>
        <w:widowControl/>
        <w:suppressLineNumbers w:val="0"/>
        <w:jc w:val="left"/>
      </w:pPr>
      <w:r>
        <w:rPr>
          <w:rFonts w:ascii="宋体" w:hAnsi="宋体" w:eastAsia="宋体" w:cs="宋体"/>
          <w:kern w:val="0"/>
          <w:sz w:val="24"/>
          <w:szCs w:val="24"/>
          <w:lang w:val="en-US" w:eastAsia="zh-CN" w:bidi="ar"/>
        </w:rPr>
        <w:t>触摸屏采用人性化可视化界面设计，清晰划分为生产控制、参数设置、状态监控、故障诊断四大功能模块，逻辑清晰、操作便捷。生产控制模块支持手动/自动模式切换，手动模式下可单独控制各轴动作、气缸伸缩、伺服启停，方便设备调试与故障排查；自动模式下支持一键启动/停止，实时显示生产速度、产量、合格率等关键数据，产量统计精度≤1‰。参数设置模块支持口罩尺寸、层数、耳带位置、焊接参数等核心参数的输入与保存，可存储100组不同规格的生产参数，支持快速调用与批量修改，适配多规格、小批量生产需求；定标模式下可设置色标检测灵敏度与提前返回百分比，定长模式下直接输入口罩长度即可自动计算相关参数，无需手动调整凸轮曲线，大幅降低操作人员技术门槛。</w:t>
      </w:r>
    </w:p>
    <w:p w14:paraId="318E9B52">
      <w:pPr>
        <w:keepNext w:val="0"/>
        <w:keepLines w:val="0"/>
        <w:widowControl/>
        <w:suppressLineNumbers w:val="0"/>
        <w:jc w:val="left"/>
      </w:pPr>
      <w:r>
        <w:rPr>
          <w:rFonts w:ascii="宋体" w:hAnsi="宋体" w:eastAsia="宋体" w:cs="宋体"/>
          <w:kern w:val="0"/>
          <w:sz w:val="24"/>
          <w:szCs w:val="24"/>
          <w:lang w:val="en-US" w:eastAsia="zh-CN" w:bidi="ar"/>
        </w:rPr>
        <w:t>状态监控模块采用图形化界面设计，通过不同颜色标注设备运行状态（绿色-运行、黄色-待机、红色-故障），直观呈现生产全流程；同时实时显示焊接温度、布料张力等关键工艺参数的变化曲线，方便操作人员监控生产稳定性，及时发现潜在异常。故障诊断模块具备故障自动检测、报警与定位功能，当出现布料缺料、伺服异常、传感器故障等问题时，立即发出声光报警，屏幕同步显示故障类型、发生位置与处理建议，故障记录自动保存，可查询近1000条历史故障记录，支持故障代码导出与远程诊断，助力技术人员快速排查故障，将平均故障解决时间控制在30分钟内，减少停机损失。</w:t>
      </w:r>
    </w:p>
    <w:p w14:paraId="268DEB55">
      <w:pPr>
        <w:pStyle w:val="4"/>
        <w:numPr>
          <w:ilvl w:val="0"/>
          <w:numId w:val="15"/>
        </w:numPr>
        <w:bidi w:val="0"/>
        <w:ind w:left="0" w:leftChars="0" w:firstLine="0" w:firstLineChars="0"/>
        <w:rPr>
          <w:rFonts w:hint="default"/>
          <w:lang w:val="en-US" w:eastAsia="zh-CN"/>
        </w:rPr>
      </w:pPr>
      <w:r>
        <w:rPr>
          <w:rFonts w:hint="eastAsia"/>
          <w:lang w:val="en-US" w:eastAsia="zh-CN"/>
        </w:rPr>
        <w:t>安全保护模块</w:t>
      </w:r>
    </w:p>
    <w:p w14:paraId="0D6366E4">
      <w:pPr>
        <w:keepNext w:val="0"/>
        <w:keepLines w:val="0"/>
        <w:widowControl/>
        <w:suppressLineNumbers w:val="0"/>
        <w:jc w:val="left"/>
      </w:pPr>
      <w:r>
        <w:rPr>
          <w:rFonts w:ascii="宋体" w:hAnsi="宋体" w:eastAsia="宋体" w:cs="宋体"/>
          <w:kern w:val="0"/>
          <w:sz w:val="24"/>
          <w:szCs w:val="24"/>
          <w:lang w:val="en-US" w:eastAsia="zh-CN" w:bidi="ar"/>
        </w:rPr>
        <w:t>安全保护模块采用“硬件防护+软件防护”的双重保护设计，构建全方位、多层次的安全保护体系，既保障操作人员人身安全，又保护设备核心部件不受损坏，同时确保生产流程的安全稳定，契合工业生产的安全规范与医疗防护用品生产的规范化要求。</w:t>
      </w:r>
    </w:p>
    <w:p w14:paraId="30EF19CE">
      <w:pPr>
        <w:keepNext w:val="0"/>
        <w:keepLines w:val="0"/>
        <w:widowControl/>
        <w:suppressLineNumbers w:val="0"/>
        <w:jc w:val="left"/>
      </w:pPr>
      <w:r>
        <w:rPr>
          <w:rFonts w:ascii="宋体" w:hAnsi="宋体" w:eastAsia="宋体" w:cs="宋体"/>
          <w:kern w:val="0"/>
          <w:sz w:val="24"/>
          <w:szCs w:val="24"/>
          <w:lang w:val="en-US" w:eastAsia="zh-CN" w:bidi="ar"/>
        </w:rPr>
        <w:t>硬件安全保护方面，配备多重专用保护装置：设备机架四周安装安全围栏，围栏门配备安全联锁开关，实现安全联动控制，开门即触发急停信号，PLC立即切断伺服与超声波电源，所有机构瞬间停止动作，响应时间≤5ms，从根本上杜绝操作人员误入危险区域导致的安全事故。关键运动部件（如滚切刀、焊耳滑台）均安装机械限位与电子限位双重保护装置，防止机构超程碰撞，当触发限位信号时，设备紧急停机并锁定，需手动复位并排查故障后才能重启，避免设备部件损坏。设备两端各配备1个蘑菇头自锁式急停按钮，按下后需旋转才能复位，确保紧急情况下操作人员可快速停机，避免事故扩大。</w:t>
      </w:r>
    </w:p>
    <w:p w14:paraId="12C70C6A">
      <w:pPr>
        <w:keepNext w:val="0"/>
        <w:keepLines w:val="0"/>
        <w:widowControl/>
        <w:suppressLineNumbers w:val="0"/>
        <w:jc w:val="left"/>
      </w:pPr>
      <w:r>
        <w:rPr>
          <w:rFonts w:ascii="宋体" w:hAnsi="宋体" w:eastAsia="宋体" w:cs="宋体"/>
          <w:kern w:val="0"/>
          <w:sz w:val="24"/>
          <w:szCs w:val="24"/>
          <w:lang w:val="en-US" w:eastAsia="zh-CN" w:bidi="ar"/>
        </w:rPr>
        <w:t>电气系统采用双重绝缘设计，主电路配备2P空开与漏电保护器，当漏电电流超过30mA时自动跳闸，切断电源，保障操作人员用电安全；控制电路配备浪涌保护器，可有效抵御电压波动与电磁干扰，避免PLC、伺服驱动器等核心电气部件损坏，提升设备运行稳定性。同时，设备运行时产生的超声波与噪音严格控制在85dB以下，符合工业安全标准，焊接工位专门配备防护挡板，防止高温烫伤操作人员，进一步完善硬件防护体系。</w:t>
      </w:r>
    </w:p>
    <w:p w14:paraId="1C68625A">
      <w:pPr>
        <w:keepNext w:val="0"/>
        <w:keepLines w:val="0"/>
        <w:widowControl/>
        <w:suppressLineNumbers w:val="0"/>
        <w:jc w:val="left"/>
      </w:pPr>
      <w:r>
        <w:rPr>
          <w:rFonts w:ascii="宋体" w:hAnsi="宋体" w:eastAsia="宋体" w:cs="宋体"/>
          <w:kern w:val="0"/>
          <w:sz w:val="24"/>
          <w:szCs w:val="24"/>
          <w:lang w:val="en-US" w:eastAsia="zh-CN" w:bidi="ar"/>
        </w:rPr>
        <w:t>软件安全保护方面，PLC内置完善的“预警-干预-停机”三级保护机制，实现故障的分级处理，兼顾安全与生产连续性。一级预警：当检测到布料张力异常、焊接温度偏高、伺服负载超限等非致命故障时，屏幕显示预警信息并发出提示音，同时自动调整相关参数（如降低生产速度、调整焊接功率），尝试自主排除故障，无需停机。二级干预：若预警后故障未缓解，系统触发局部停机，仅停止故障相关机构（如送料机构或焊耳模块），其他机构正常运行，便于操作人员精准排查问题，减少停机损失。三级停机：当出现急停触发、安全门打开、重大电气故障等致命安全隐患时，立即执行全线停机，切断所有动力电源，锁定操作权限，防止非授权人员误操作导致二次风险。</w:t>
      </w:r>
    </w:p>
    <w:p w14:paraId="4E19EFBC">
      <w:pPr>
        <w:keepNext w:val="0"/>
        <w:keepLines w:val="0"/>
        <w:widowControl/>
        <w:suppressLineNumbers w:val="0"/>
        <w:jc w:val="left"/>
      </w:pPr>
      <w:r>
        <w:rPr>
          <w:rFonts w:ascii="宋体" w:hAnsi="宋体" w:eastAsia="宋体" w:cs="宋体"/>
          <w:kern w:val="0"/>
          <w:sz w:val="24"/>
          <w:szCs w:val="24"/>
          <w:lang w:val="en-US" w:eastAsia="zh-CN" w:bidi="ar"/>
        </w:rPr>
        <w:t>此外，软件具备生产异常追溯功能，自动记录故障发生时的生产参数、设备运行状态与动作位置，为技术人员快速定位问题根源、优化设备性能提供数据支撑。同时支持安全参数锁定功能，关键安全设置（如急停响应时间、限位保护范围）需密码授权才能修改，防止非授权人员误操作，保障设备安全保护体系的有效性，确保设备长期安全、稳定运行。</w:t>
      </w:r>
    </w:p>
    <w:p w14:paraId="47BE333C">
      <w:pPr>
        <w:pStyle w:val="3"/>
        <w:numPr>
          <w:ilvl w:val="0"/>
          <w:numId w:val="12"/>
        </w:numPr>
        <w:bidi w:val="0"/>
        <w:ind w:left="0" w:leftChars="0" w:firstLine="0" w:firstLineChars="0"/>
        <w:rPr>
          <w:rFonts w:hint="default"/>
          <w:lang w:val="en-US" w:eastAsia="zh-CN"/>
        </w:rPr>
      </w:pPr>
      <w:bookmarkStart w:id="26" w:name="_Toc31449"/>
      <w:r>
        <w:rPr>
          <w:rFonts w:hint="default"/>
          <w:lang w:val="en-US" w:eastAsia="zh-CN"/>
        </w:rPr>
        <w:t>主控单元设计</w:t>
      </w:r>
      <w:bookmarkEnd w:id="26"/>
    </w:p>
    <w:p w14:paraId="39C6415E">
      <w:pPr>
        <w:pStyle w:val="4"/>
        <w:numPr>
          <w:ilvl w:val="0"/>
          <w:numId w:val="16"/>
        </w:numPr>
        <w:bidi w:val="0"/>
        <w:ind w:left="0" w:leftChars="0" w:firstLine="0" w:firstLineChars="0"/>
        <w:rPr>
          <w:rFonts w:hint="default"/>
          <w:lang w:val="en-US" w:eastAsia="zh-CN"/>
        </w:rPr>
      </w:pPr>
      <w:r>
        <w:rPr>
          <w:rFonts w:hint="default"/>
          <w:lang w:val="en-US" w:eastAsia="zh-CN"/>
        </w:rPr>
        <w:t>双PLC协同控制架构</w:t>
      </w:r>
    </w:p>
    <w:p w14:paraId="25A202F1">
      <w:pPr>
        <w:keepNext w:val="0"/>
        <w:keepLines w:val="0"/>
        <w:widowControl/>
        <w:suppressLineNumbers w:val="0"/>
        <w:ind w:left="0" w:leftChars="0" w:firstLine="0" w:firstLineChars="0"/>
        <w:jc w:val="center"/>
        <w:rPr>
          <w:rFonts w:hint="eastAsia" w:ascii="宋体" w:hAnsi="宋体" w:cs="宋体"/>
          <w:b w:val="0"/>
          <w:bCs w:val="0"/>
          <w:kern w:val="0"/>
          <w:sz w:val="24"/>
          <w:szCs w:val="16"/>
          <w:lang w:val="en-US" w:eastAsia="zh-CN" w:bidi="ar"/>
        </w:rPr>
      </w:pPr>
      <w:r>
        <w:rPr>
          <w:rFonts w:hint="eastAsia" w:ascii="宋体" w:hAnsi="宋体" w:cs="宋体"/>
          <w:b w:val="0"/>
          <w:bCs w:val="0"/>
          <w:kern w:val="0"/>
          <w:sz w:val="24"/>
          <w:szCs w:val="16"/>
          <w:lang w:val="en-US" w:eastAsia="zh-CN" w:bidi="ar"/>
        </w:rPr>
        <w:drawing>
          <wp:inline distT="0" distB="0" distL="114300" distR="114300">
            <wp:extent cx="3820795" cy="2865120"/>
            <wp:effectExtent l="0" t="0" r="1905" b="5080"/>
            <wp:docPr id="31" name="图片 31" descr="微信图片_20260123181720_40_4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微信图片_20260123181720_40_4254"/>
                    <pic:cNvPicPr>
                      <a:picLocks noChangeAspect="1"/>
                    </pic:cNvPicPr>
                  </pic:nvPicPr>
                  <pic:blipFill>
                    <a:blip r:embed="rId23"/>
                    <a:stretch>
                      <a:fillRect/>
                    </a:stretch>
                  </pic:blipFill>
                  <pic:spPr>
                    <a:xfrm>
                      <a:off x="0" y="0"/>
                      <a:ext cx="3820795" cy="2865120"/>
                    </a:xfrm>
                    <a:prstGeom prst="rect">
                      <a:avLst/>
                    </a:prstGeom>
                  </pic:spPr>
                </pic:pic>
              </a:graphicData>
            </a:graphic>
          </wp:inline>
        </w:drawing>
      </w:r>
    </w:p>
    <w:p w14:paraId="1DB71F71">
      <w:pPr>
        <w:keepNext w:val="0"/>
        <w:keepLines w:val="0"/>
        <w:widowControl/>
        <w:suppressLineNumbers w:val="0"/>
        <w:ind w:left="0" w:leftChars="0" w:firstLine="0" w:firstLineChars="0"/>
        <w:jc w:val="center"/>
        <w:rPr>
          <w:rFonts w:ascii="宋体" w:hAnsi="宋体" w:eastAsia="宋体" w:cs="宋体"/>
          <w:kern w:val="0"/>
          <w:sz w:val="24"/>
          <w:szCs w:val="24"/>
          <w:lang w:val="en-US" w:eastAsia="zh-CN" w:bidi="ar"/>
        </w:rPr>
      </w:pPr>
      <w:r>
        <w:rPr>
          <w:rFonts w:hint="eastAsia" w:ascii="宋体" w:hAnsi="宋体" w:cs="宋体"/>
          <w:b w:val="0"/>
          <w:bCs w:val="0"/>
          <w:kern w:val="0"/>
          <w:sz w:val="24"/>
          <w:szCs w:val="16"/>
          <w:lang w:val="en-US" w:eastAsia="zh-CN" w:bidi="ar"/>
        </w:rPr>
        <w:t>图3</w:t>
      </w:r>
      <w:r>
        <w:rPr>
          <w:rFonts w:hint="eastAsia" w:ascii="宋体" w:hAnsi="宋体" w:eastAsia="宋体" w:cs="宋体"/>
          <w:b w:val="0"/>
          <w:bCs w:val="0"/>
          <w:kern w:val="0"/>
          <w:sz w:val="24"/>
          <w:szCs w:val="16"/>
          <w:lang w:val="en-US" w:eastAsia="zh-CN" w:bidi="ar"/>
        </w:rPr>
        <w:t>.</w:t>
      </w:r>
      <w:r>
        <w:rPr>
          <w:rFonts w:hint="eastAsia" w:ascii="宋体" w:hAnsi="宋体" w:cs="宋体"/>
          <w:b w:val="0"/>
          <w:bCs w:val="0"/>
          <w:kern w:val="0"/>
          <w:sz w:val="24"/>
          <w:szCs w:val="16"/>
          <w:lang w:val="en-US" w:eastAsia="zh-CN" w:bidi="ar"/>
        </w:rPr>
        <w:t>16</w:t>
      </w:r>
      <w:r>
        <w:rPr>
          <w:rFonts w:hint="eastAsia" w:ascii="宋体" w:hAnsi="宋体" w:eastAsia="宋体" w:cs="宋体"/>
          <w:b w:val="0"/>
          <w:bCs w:val="0"/>
          <w:kern w:val="0"/>
          <w:sz w:val="24"/>
          <w:szCs w:val="16"/>
          <w:lang w:val="en-US" w:eastAsia="zh-CN" w:bidi="ar"/>
        </w:rPr>
        <w:t xml:space="preserve"> </w:t>
      </w:r>
      <w:r>
        <w:rPr>
          <w:rFonts w:ascii="宋体" w:hAnsi="宋体" w:eastAsia="宋体" w:cs="宋体"/>
          <w:sz w:val="24"/>
          <w:szCs w:val="24"/>
        </w:rPr>
        <w:t>信捷PLC接线端子图</w:t>
      </w:r>
    </w:p>
    <w:p w14:paraId="787D0A5F">
      <w:pPr>
        <w:keepNext w:val="0"/>
        <w:keepLines w:val="0"/>
        <w:widowControl/>
        <w:suppressLineNumbers w:val="0"/>
        <w:jc w:val="left"/>
      </w:pPr>
      <w:r>
        <w:rPr>
          <w:rFonts w:ascii="宋体" w:hAnsi="宋体" w:eastAsia="宋体" w:cs="宋体"/>
          <w:kern w:val="0"/>
          <w:sz w:val="24"/>
          <w:szCs w:val="24"/>
          <w:lang w:val="en-US" w:eastAsia="zh-CN" w:bidi="ar"/>
        </w:rPr>
        <w:t>主控单元作为整个系统的核心指挥中枢，针对单一PLC在多轴控制、实时驱动与复杂逻辑运算间存在的性能瓶颈，专门采用“信捷XDH-60T4-E + 西门子1214C”双PLC协同架构。该架构通过明确主从PLC的功能分工、实现高效联动，既保障核心工序的高精度控制，又确保指令的低延迟响应，全方位支撑系统全流程自动化作业，与前文3.4各功能模块、3.3核心控制技术形成深度适配，构建完整的控制体系。</w:t>
      </w:r>
    </w:p>
    <w:p w14:paraId="42D1862F">
      <w:pPr>
        <w:keepNext w:val="0"/>
        <w:keepLines w:val="0"/>
        <w:widowControl/>
        <w:suppressLineNumbers w:val="0"/>
        <w:jc w:val="left"/>
      </w:pPr>
      <w:r>
        <w:rPr>
          <w:rFonts w:ascii="宋体" w:hAnsi="宋体" w:eastAsia="宋体" w:cs="宋体"/>
          <w:kern w:val="0"/>
          <w:sz w:val="24"/>
          <w:szCs w:val="24"/>
          <w:lang w:val="en-US" w:eastAsia="zh-CN" w:bidi="ar"/>
        </w:rPr>
        <w:t>信捷XDH-60T4-E作为核心控制PLC，聚焦口罩生产全流程的逻辑管控，承担多轴协同调度、IO点位集中管理与工艺参数运算三大核心职责，其接线逻辑与图3.16所示信捷PLC接线端子图精准对应，确保IO信号采集与指令输出的稳定性。依托前文提及的EtherCAT总线技术，该PLC直接连接33个伺服驱动器，实现滚花、拉布、焊耳等关键伺服轴的精准同步控制，总线传输延迟稳定≤1ms，可确保设备在180片/分钟的高速生产状态下，各工序动作协同一致，有效规避轴间偏差导致的质量问题。</w:t>
      </w:r>
    </w:p>
    <w:p w14:paraId="3B75CAAC">
      <w:pPr>
        <w:keepNext w:val="0"/>
        <w:keepLines w:val="0"/>
        <w:widowControl/>
        <w:suppressLineNumbers w:val="0"/>
        <w:jc w:val="left"/>
      </w:pPr>
      <w:r>
        <w:rPr>
          <w:rFonts w:ascii="宋体" w:hAnsi="宋体" w:eastAsia="宋体" w:cs="宋体"/>
          <w:kern w:val="0"/>
          <w:sz w:val="24"/>
          <w:szCs w:val="24"/>
          <w:lang w:val="en-US" w:eastAsia="zh-CN" w:bidi="ar"/>
        </w:rPr>
        <w:t>该核心PLC配备60点IO接口，全面覆盖设备各类限位开关、光电传感器、电磁阀的信号采集与指令输出，可精准把控布料缺料、色标定位、气缸伸缩等生产关键环节，实现对各功能模块的实时管控。同时，其核心负责凸轮曲线参数计算、生产模式切换（定标/定长）等工艺逻辑，内置33张凸轮表，支持实时调用与参数修改，无需改动核心程序，即可灵活适配不同规格、不同层数的口罩生产需求，大幅提升设备柔性生产能力。</w:t>
      </w:r>
    </w:p>
    <w:p w14:paraId="2EC3B87B">
      <w:pPr>
        <w:keepNext w:val="0"/>
        <w:keepLines w:val="0"/>
        <w:widowControl/>
        <w:suppressLineNumbers w:val="0"/>
        <w:jc w:val="left"/>
      </w:pPr>
      <w:r>
        <w:rPr>
          <w:rFonts w:ascii="宋体" w:hAnsi="宋体" w:eastAsia="宋体" w:cs="宋体"/>
          <w:kern w:val="0"/>
          <w:sz w:val="24"/>
          <w:szCs w:val="24"/>
          <w:lang w:val="en-US" w:eastAsia="zh-CN" w:bidi="ar"/>
        </w:rPr>
        <w:t>西门子1214C作为辅助控制PLC，专注于移栽搬运与精准驱动专项任务，分工明确且针对性强，有效缓解核心PLC的负载压力。该PLC通过PN总线直接控制V90伺服电机，精准实现口罩成品的抓取、转运与堆叠动作，经实测定位误差≤0.5mm，确保成品搬运过程中无损坏、无错位；借助Modbus-RTU通讯协议与V20变频器联动，实现输送带无级调速，配合编码器高速计数器实时监测转速，确保物料输送速度与整体生产节奏精准匹配，避免出现物料堆积或输送滞后问题。</w:t>
      </w:r>
    </w:p>
    <w:p w14:paraId="558B1C65">
      <w:pPr>
        <w:keepNext w:val="0"/>
        <w:keepLines w:val="0"/>
        <w:widowControl/>
        <w:suppressLineNumbers w:val="0"/>
        <w:jc w:val="left"/>
      </w:pPr>
      <w:r>
        <w:rPr>
          <w:rFonts w:ascii="宋体" w:hAnsi="宋体" w:eastAsia="宋体" w:cs="宋体"/>
          <w:kern w:val="0"/>
          <w:sz w:val="24"/>
          <w:szCs w:val="24"/>
          <w:lang w:val="en-US" w:eastAsia="zh-CN" w:bidi="ar"/>
        </w:rPr>
        <w:t>双PLC通过S7通讯实现高效数据交互，实时同步生产状态、控制指令与参数信息，形成“核心工艺控制+辅助动作驱动”的高效协同模式，从根本上避免单一PLC负载过高导致的指令响应延迟、控制卡顿等问题。为保障数据存储与运算流畅，信捷PLC专门配备8GB高速存储卡，用于存储生产参数、凸轮曲线数据、故障日志等关键信息，支持100种以上口罩规格参数的保存与快速调用，适配多规格快速换型需求；西门子PLC扩展16GB存储模块，专门缓存移栽搬运路径规划数据与设备运行记录，可满足72小时连续作业的数据存储需求，同时支持数据本地备份与云端同步双重保障，有效防止关键控制信息与生产数据丢失。</w:t>
      </w:r>
    </w:p>
    <w:p w14:paraId="5BDCA77C">
      <w:pPr>
        <w:keepNext w:val="0"/>
        <w:keepLines w:val="0"/>
        <w:widowControl/>
        <w:suppressLineNumbers w:val="0"/>
        <w:ind w:left="0" w:leftChars="0" w:firstLine="0" w:firstLineChars="0"/>
        <w:jc w:val="center"/>
        <w:rPr>
          <w:rFonts w:hint="eastAsia" w:ascii="宋体" w:hAnsi="宋体" w:cs="宋体"/>
          <w:b w:val="0"/>
          <w:bCs w:val="0"/>
          <w:kern w:val="0"/>
          <w:sz w:val="24"/>
          <w:szCs w:val="16"/>
          <w:lang w:val="en-US" w:eastAsia="zh-CN" w:bidi="ar"/>
        </w:rPr>
      </w:pPr>
      <w:r>
        <w:rPr>
          <w:rFonts w:hint="eastAsia" w:ascii="宋体" w:hAnsi="宋体" w:cs="宋体"/>
          <w:b w:val="0"/>
          <w:bCs w:val="0"/>
          <w:kern w:val="0"/>
          <w:sz w:val="24"/>
          <w:szCs w:val="16"/>
          <w:lang w:val="en-US" w:eastAsia="zh-CN" w:bidi="ar"/>
        </w:rPr>
        <w:drawing>
          <wp:inline distT="0" distB="0" distL="114300" distR="114300">
            <wp:extent cx="4487545" cy="3364865"/>
            <wp:effectExtent l="0" t="0" r="8255" b="635"/>
            <wp:docPr id="38" name="图片 38" descr="微信图片_20260123181742_60_4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微信图片_20260123181742_60_4254"/>
                    <pic:cNvPicPr>
                      <a:picLocks noChangeAspect="1"/>
                    </pic:cNvPicPr>
                  </pic:nvPicPr>
                  <pic:blipFill>
                    <a:blip r:embed="rId24"/>
                    <a:stretch>
                      <a:fillRect/>
                    </a:stretch>
                  </pic:blipFill>
                  <pic:spPr>
                    <a:xfrm>
                      <a:off x="0" y="0"/>
                      <a:ext cx="4487545" cy="3364865"/>
                    </a:xfrm>
                    <a:prstGeom prst="rect">
                      <a:avLst/>
                    </a:prstGeom>
                  </pic:spPr>
                </pic:pic>
              </a:graphicData>
            </a:graphic>
          </wp:inline>
        </w:drawing>
      </w:r>
    </w:p>
    <w:p w14:paraId="7A39F2DD">
      <w:pPr>
        <w:keepNext w:val="0"/>
        <w:keepLines w:val="0"/>
        <w:widowControl/>
        <w:suppressLineNumbers w:val="0"/>
        <w:ind w:left="0" w:leftChars="0" w:firstLine="0" w:firstLineChars="0"/>
        <w:jc w:val="center"/>
        <w:rPr>
          <w:rFonts w:hint="eastAsia" w:ascii="宋体" w:hAnsi="宋体" w:cs="宋体"/>
          <w:b w:val="0"/>
          <w:bCs w:val="0"/>
          <w:kern w:val="0"/>
          <w:sz w:val="24"/>
          <w:szCs w:val="16"/>
          <w:lang w:val="en-US" w:eastAsia="zh-CN" w:bidi="ar"/>
        </w:rPr>
      </w:pPr>
      <w:r>
        <w:rPr>
          <w:rFonts w:hint="eastAsia" w:ascii="宋体" w:hAnsi="宋体" w:cs="宋体"/>
          <w:b w:val="0"/>
          <w:bCs w:val="0"/>
          <w:kern w:val="0"/>
          <w:sz w:val="24"/>
          <w:szCs w:val="16"/>
          <w:lang w:val="en-US" w:eastAsia="zh-CN" w:bidi="ar"/>
        </w:rPr>
        <w:t>图3</w:t>
      </w:r>
      <w:r>
        <w:rPr>
          <w:rFonts w:hint="eastAsia" w:ascii="宋体" w:hAnsi="宋体" w:eastAsia="宋体" w:cs="宋体"/>
          <w:b w:val="0"/>
          <w:bCs w:val="0"/>
          <w:kern w:val="0"/>
          <w:sz w:val="24"/>
          <w:szCs w:val="16"/>
          <w:lang w:val="en-US" w:eastAsia="zh-CN" w:bidi="ar"/>
        </w:rPr>
        <w:t>.</w:t>
      </w:r>
      <w:r>
        <w:rPr>
          <w:rFonts w:hint="eastAsia" w:ascii="宋体" w:hAnsi="宋体" w:cs="宋体"/>
          <w:b w:val="0"/>
          <w:bCs w:val="0"/>
          <w:kern w:val="0"/>
          <w:sz w:val="24"/>
          <w:szCs w:val="16"/>
          <w:lang w:val="en-US" w:eastAsia="zh-CN" w:bidi="ar"/>
        </w:rPr>
        <w:t>17 参数页面2</w:t>
      </w:r>
    </w:p>
    <w:p w14:paraId="59C075D7">
      <w:pPr>
        <w:keepNext w:val="0"/>
        <w:keepLines w:val="0"/>
        <w:widowControl/>
        <w:suppressLineNumbers w:val="0"/>
        <w:jc w:val="left"/>
        <w:rPr>
          <w:rFonts w:hint="default" w:ascii="宋体" w:hAnsi="宋体" w:cs="宋体"/>
          <w:b w:val="0"/>
          <w:bCs w:val="0"/>
          <w:kern w:val="0"/>
          <w:sz w:val="24"/>
          <w:szCs w:val="16"/>
          <w:lang w:val="en-US" w:eastAsia="zh-CN" w:bidi="ar"/>
        </w:rPr>
      </w:pPr>
      <w:r>
        <w:rPr>
          <w:rFonts w:ascii="宋体" w:hAnsi="宋体" w:eastAsia="宋体" w:cs="宋体"/>
          <w:kern w:val="0"/>
          <w:sz w:val="24"/>
          <w:szCs w:val="24"/>
          <w:lang w:val="en-US" w:eastAsia="zh-CN" w:bidi="ar"/>
        </w:rPr>
        <w:t>图3.17所示参数页面2，为双PLC协同控制的核心参数设置界面，操作人员可通过该界面查看、修改信捷PLC与西门子PLC的协同控制参数、伺服驱动参数等，参数修改响应时间≤10ms，确保设置实时生效，进一步提升操作便捷性与控制精准度。</w:t>
      </w:r>
    </w:p>
    <w:p w14:paraId="2CCE57EA">
      <w:pPr>
        <w:pStyle w:val="4"/>
        <w:numPr>
          <w:ilvl w:val="0"/>
          <w:numId w:val="16"/>
        </w:numPr>
        <w:bidi w:val="0"/>
        <w:ind w:left="0" w:leftChars="0" w:firstLine="0" w:firstLineChars="0"/>
        <w:rPr>
          <w:rFonts w:hint="default"/>
          <w:lang w:val="en-US" w:eastAsia="zh-CN"/>
        </w:rPr>
      </w:pPr>
      <w:r>
        <w:rPr>
          <w:rFonts w:hint="default"/>
          <w:lang w:val="en-US" w:eastAsia="zh-CN"/>
        </w:rPr>
        <w:t>主控协同机制</w:t>
      </w:r>
    </w:p>
    <w:p w14:paraId="0FC86A07">
      <w:pPr>
        <w:keepNext w:val="0"/>
        <w:keepLines w:val="0"/>
        <w:widowControl/>
        <w:suppressLineNumbers w:val="0"/>
        <w:ind w:left="0" w:leftChars="0" w:firstLine="0" w:firstLineChars="0"/>
        <w:jc w:val="center"/>
        <w:rPr>
          <w:rFonts w:hint="eastAsia" w:ascii="宋体" w:hAnsi="宋体" w:cs="宋体"/>
          <w:b w:val="0"/>
          <w:bCs w:val="0"/>
          <w:kern w:val="0"/>
          <w:sz w:val="24"/>
          <w:szCs w:val="16"/>
          <w:lang w:val="en-US" w:eastAsia="zh-CN" w:bidi="ar"/>
        </w:rPr>
      </w:pPr>
      <w:r>
        <w:rPr>
          <w:rFonts w:hint="eastAsia" w:ascii="宋体" w:hAnsi="宋体" w:cs="宋体"/>
          <w:b w:val="0"/>
          <w:bCs w:val="0"/>
          <w:kern w:val="0"/>
          <w:sz w:val="24"/>
          <w:szCs w:val="16"/>
          <w:lang w:val="en-US" w:eastAsia="zh-CN" w:bidi="ar"/>
        </w:rPr>
        <w:drawing>
          <wp:inline distT="0" distB="0" distL="114300" distR="114300">
            <wp:extent cx="4107815" cy="3080385"/>
            <wp:effectExtent l="0" t="0" r="6985" b="5715"/>
            <wp:docPr id="33" name="图片 33" descr="微信图片_20260123181718_39_4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微信图片_20260123181718_39_4254"/>
                    <pic:cNvPicPr>
                      <a:picLocks noChangeAspect="1"/>
                    </pic:cNvPicPr>
                  </pic:nvPicPr>
                  <pic:blipFill>
                    <a:blip r:embed="rId25"/>
                    <a:stretch>
                      <a:fillRect/>
                    </a:stretch>
                  </pic:blipFill>
                  <pic:spPr>
                    <a:xfrm>
                      <a:off x="0" y="0"/>
                      <a:ext cx="4107815" cy="3080385"/>
                    </a:xfrm>
                    <a:prstGeom prst="rect">
                      <a:avLst/>
                    </a:prstGeom>
                  </pic:spPr>
                </pic:pic>
              </a:graphicData>
            </a:graphic>
          </wp:inline>
        </w:drawing>
      </w:r>
    </w:p>
    <w:p w14:paraId="50AADC86">
      <w:pPr>
        <w:keepNext w:val="0"/>
        <w:keepLines w:val="0"/>
        <w:widowControl/>
        <w:suppressLineNumbers w:val="0"/>
        <w:ind w:left="0" w:leftChars="0" w:firstLine="0" w:firstLineChars="0"/>
        <w:jc w:val="center"/>
        <w:rPr>
          <w:rFonts w:ascii="宋体" w:hAnsi="宋体" w:eastAsia="宋体" w:cs="宋体"/>
          <w:kern w:val="0"/>
          <w:sz w:val="24"/>
          <w:szCs w:val="24"/>
          <w:lang w:val="en-US" w:eastAsia="zh-CN" w:bidi="ar"/>
        </w:rPr>
      </w:pPr>
      <w:r>
        <w:rPr>
          <w:rFonts w:hint="eastAsia" w:ascii="宋体" w:hAnsi="宋体" w:cs="宋体"/>
          <w:b w:val="0"/>
          <w:bCs w:val="0"/>
          <w:kern w:val="0"/>
          <w:sz w:val="24"/>
          <w:szCs w:val="16"/>
          <w:lang w:val="en-US" w:eastAsia="zh-CN" w:bidi="ar"/>
        </w:rPr>
        <w:t>图3</w:t>
      </w:r>
      <w:r>
        <w:rPr>
          <w:rFonts w:hint="eastAsia" w:ascii="宋体" w:hAnsi="宋体" w:eastAsia="宋体" w:cs="宋体"/>
          <w:b w:val="0"/>
          <w:bCs w:val="0"/>
          <w:kern w:val="0"/>
          <w:sz w:val="24"/>
          <w:szCs w:val="16"/>
          <w:lang w:val="en-US" w:eastAsia="zh-CN" w:bidi="ar"/>
        </w:rPr>
        <w:t>.</w:t>
      </w:r>
      <w:r>
        <w:rPr>
          <w:rFonts w:hint="eastAsia" w:ascii="宋体" w:hAnsi="宋体" w:cs="宋体"/>
          <w:b w:val="0"/>
          <w:bCs w:val="0"/>
          <w:kern w:val="0"/>
          <w:sz w:val="24"/>
          <w:szCs w:val="16"/>
          <w:lang w:val="en-US" w:eastAsia="zh-CN" w:bidi="ar"/>
        </w:rPr>
        <w:t>18</w:t>
      </w:r>
      <w:r>
        <w:rPr>
          <w:rFonts w:hint="eastAsia" w:ascii="宋体" w:hAnsi="宋体" w:eastAsia="宋体" w:cs="宋体"/>
          <w:b w:val="0"/>
          <w:bCs w:val="0"/>
          <w:kern w:val="0"/>
          <w:sz w:val="24"/>
          <w:szCs w:val="16"/>
          <w:lang w:val="en-US" w:eastAsia="zh-CN" w:bidi="ar"/>
        </w:rPr>
        <w:t xml:space="preserve"> </w:t>
      </w:r>
      <w:r>
        <w:rPr>
          <w:rFonts w:ascii="宋体" w:hAnsi="宋体" w:eastAsia="宋体" w:cs="宋体"/>
          <w:sz w:val="24"/>
          <w:szCs w:val="24"/>
        </w:rPr>
        <w:t>IO点位分布图</w:t>
      </w:r>
    </w:p>
    <w:p w14:paraId="5461B9E0">
      <w:pPr>
        <w:keepNext w:val="0"/>
        <w:keepLines w:val="0"/>
        <w:widowControl/>
        <w:suppressLineNumbers w:val="0"/>
        <w:jc w:val="left"/>
      </w:pPr>
      <w:r>
        <w:rPr>
          <w:rFonts w:ascii="宋体" w:hAnsi="宋体" w:eastAsia="宋体" w:cs="宋体"/>
          <w:kern w:val="0"/>
          <w:sz w:val="24"/>
          <w:szCs w:val="24"/>
          <w:lang w:val="en-US" w:eastAsia="zh-CN" w:bidi="ar"/>
        </w:rPr>
        <w:t>为确保双PLC协同控制的精准性、及时性与可靠性，避免出现控制冲突、动作延迟或指令丢失等问题，专门建立“主从联动+优先级分级”的双重主控协同机制，其控制逻辑与图3.18所示IO点位分布图深度契合，实现IO信号采集、指令传输与动作执行的闭环管控，全方位保障系统稳定运行。</w:t>
      </w:r>
    </w:p>
    <w:p w14:paraId="4DECE4D0">
      <w:pPr>
        <w:keepNext w:val="0"/>
        <w:keepLines w:val="0"/>
        <w:widowControl/>
        <w:suppressLineNumbers w:val="0"/>
        <w:jc w:val="left"/>
      </w:pPr>
      <w:r>
        <w:rPr>
          <w:rFonts w:ascii="宋体" w:hAnsi="宋体" w:eastAsia="宋体" w:cs="宋体"/>
          <w:kern w:val="0"/>
          <w:sz w:val="24"/>
          <w:szCs w:val="24"/>
          <w:lang w:val="en-US" w:eastAsia="zh-CN" w:bidi="ar"/>
        </w:rPr>
        <w:t>主从联动机制以信捷PLC作为主控制端、西门子PLC作为辅助控制端，指令传输采用以太网+Modbus双链路备份设计，既保障传输速率，又提升通讯可靠性，避免单一链路故障导致的协同失效。主控制端（信捷PLC）根据生产流程与工艺需求，向辅助控制端（西门子PLC）下发移栽搬运触发信号、目标位置参数、速度指令等核心控制指令，传输速率≥100Mbps，指令延迟严格控制在≤5ms；辅助控制端实时反馈伺服电机运行状态、物料到位信号、移栽完成信号等，确保主控制端及时掌握辅助动作执行情况，并根据反馈信号动态调整生产节奏与工艺参数，形成高效的闭环控制，实现核心工艺与辅助动作的无缝衔接。</w:t>
      </w:r>
    </w:p>
    <w:p w14:paraId="077C0971">
      <w:pPr>
        <w:keepNext w:val="0"/>
        <w:keepLines w:val="0"/>
        <w:widowControl/>
        <w:suppressLineNumbers w:val="0"/>
        <w:jc w:val="left"/>
      </w:pPr>
      <w:r>
        <w:rPr>
          <w:rFonts w:ascii="宋体" w:hAnsi="宋体" w:eastAsia="宋体" w:cs="宋体"/>
          <w:kern w:val="0"/>
          <w:sz w:val="24"/>
          <w:szCs w:val="24"/>
          <w:lang w:val="en-US" w:eastAsia="zh-CN" w:bidi="ar"/>
        </w:rPr>
        <w:t>优先级分级机制重点聚焦生产安全与核心工艺稳定性，结合生产实际需求，将各类控制指令划分为三个优先级，确保关键指令优先执行、核心环节不受干扰。其中，急停信号、缺料报警、限位保护等涉及生产安全与设备保护的指令，设定为最高优先级，一旦触发，双PLC同步响应、协同执行停机指令，立即切断伺服动力输出，并复位各关键机构，响应时间≤10ms，从根本上避免设备部件碰撞、产品报废或操作人员安全事故的发生。</w:t>
      </w:r>
    </w:p>
    <w:p w14:paraId="288E2E2D">
      <w:pPr>
        <w:keepNext w:val="0"/>
        <w:keepLines w:val="0"/>
        <w:widowControl/>
        <w:suppressLineNumbers w:val="0"/>
        <w:jc w:val="left"/>
      </w:pPr>
      <w:r>
        <w:rPr>
          <w:rFonts w:ascii="宋体" w:hAnsi="宋体" w:eastAsia="宋体" w:cs="宋体"/>
          <w:kern w:val="0"/>
          <w:sz w:val="24"/>
          <w:szCs w:val="24"/>
          <w:lang w:val="en-US" w:eastAsia="zh-CN" w:bidi="ar"/>
        </w:rPr>
        <w:t>核心工艺指令（如焊耳定位、裁切触发、鼻梁条安装控制等）设定为第二优先级，优先于辅助动作指令执行，确保耳带焊接精度、裁切尺寸、鼻梁条安装位置等关键质量指标不受非核心指令干扰，保障产品合格率稳定在99%以上。辅助动作指令（如废料回收、成品堆叠、输送带调速等）设定为最低优先级，可根据系统生产负荷动态调整执行时机，在不影响核心工序正常运行的前提下，灵活适配生产节奏，进一步提升系统运行效率与资源利用率。</w:t>
      </w:r>
    </w:p>
    <w:p w14:paraId="2862E137">
      <w:pPr>
        <w:keepNext w:val="0"/>
        <w:keepLines w:val="0"/>
        <w:widowControl/>
        <w:suppressLineNumbers w:val="0"/>
        <w:jc w:val="left"/>
      </w:pPr>
      <w:r>
        <w:rPr>
          <w:rFonts w:ascii="宋体" w:hAnsi="宋体" w:eastAsia="宋体" w:cs="宋体"/>
          <w:kern w:val="0"/>
          <w:sz w:val="24"/>
          <w:szCs w:val="24"/>
          <w:lang w:val="en-US" w:eastAsia="zh-CN" w:bidi="ar"/>
        </w:rPr>
        <w:t>为进一步提升系统运行可靠性，协同机制还内置故障交叉诊断功能，实现双PLC的相互监测、相互备份。当任一PLC检测到自身异常（如通讯中断、模块故障、IO信号异常等），立即向另一PLC发送预警信号，触发备用控制逻辑，避免全线停机导致的生产损失。例如，当信捷PLC出现通讯故障时，西门子PLC可临时接管输送带调速、急停保护等关键辅助功能，维持设备基础运行，同时自动记录故障信息（故障类型、发生时间、触发点位），便于后期技术人员快速排查、维修，大幅提升系统容错能力与运行可靠性；同理，当西门子PLC出现异常时，信捷PLC可临时暂停移栽搬运相关指令，优先保障核心生产工序正常进行，最大限度降低停机损失。</w:t>
      </w:r>
    </w:p>
    <w:p w14:paraId="58265B79">
      <w:pPr>
        <w:pStyle w:val="3"/>
        <w:numPr>
          <w:ilvl w:val="0"/>
          <w:numId w:val="12"/>
        </w:numPr>
        <w:bidi w:val="0"/>
        <w:ind w:left="0" w:leftChars="0" w:firstLine="0" w:firstLineChars="0"/>
        <w:rPr>
          <w:rFonts w:hint="default"/>
          <w:lang w:val="en-US" w:eastAsia="zh-CN"/>
        </w:rPr>
      </w:pPr>
      <w:bookmarkStart w:id="27" w:name="_Toc2002"/>
      <w:bookmarkStart w:id="28" w:name="_Toc10657"/>
      <w:r>
        <w:rPr>
          <w:rFonts w:hint="default"/>
          <w:lang w:val="en-US" w:eastAsia="zh-CN"/>
        </w:rPr>
        <w:t>配套服务体系</w:t>
      </w:r>
      <w:bookmarkEnd w:id="27"/>
      <w:bookmarkEnd w:id="28"/>
    </w:p>
    <w:p w14:paraId="3DD1A777">
      <w:pPr>
        <w:keepNext w:val="0"/>
        <w:keepLines w:val="0"/>
        <w:widowControl/>
        <w:suppressLineNumbers w:val="0"/>
        <w:jc w:val="left"/>
        <w:rPr>
          <w:rFonts w:hint="default"/>
          <w:lang w:val="en-US" w:eastAsia="zh-CN"/>
        </w:rPr>
      </w:pPr>
      <w:r>
        <w:rPr>
          <w:rFonts w:ascii="宋体" w:hAnsi="宋体" w:eastAsia="宋体" w:cs="宋体"/>
          <w:kern w:val="0"/>
          <w:sz w:val="24"/>
          <w:szCs w:val="24"/>
          <w:lang w:val="en-US" w:eastAsia="zh-CN" w:bidi="ar"/>
        </w:rPr>
        <w:t>为保障设备长期稳定运行、提升客户使用体验，降低客户运营与维护成本，贴合不同规模、不同场景下客户的差异化需求，本项目构建“云端服务+售后与回收服务+定制服务”三位一体的配套服务体系，与前文设备硬件、软件及核心模块设计深度适配，形成“设备供应+全周期服务”的完整解决方案，全方位支撑客户实现自动化生产转型，提升项目市场竞争力与客户粘性。</w:t>
      </w:r>
    </w:p>
    <w:p w14:paraId="72C770EA">
      <w:pPr>
        <w:pStyle w:val="4"/>
        <w:numPr>
          <w:ilvl w:val="0"/>
          <w:numId w:val="17"/>
        </w:numPr>
        <w:bidi w:val="0"/>
        <w:ind w:left="0" w:leftChars="0" w:firstLine="0" w:firstLineChars="0"/>
        <w:rPr>
          <w:rFonts w:hint="eastAsia"/>
          <w:lang w:val="en-US" w:eastAsia="zh-CN"/>
        </w:rPr>
      </w:pPr>
      <w:r>
        <w:rPr>
          <w:rFonts w:hint="eastAsia"/>
          <w:lang w:val="en-US" w:eastAsia="zh-CN"/>
        </w:rPr>
        <w:t>云端服务</w:t>
      </w:r>
    </w:p>
    <w:p w14:paraId="4AB38CA2">
      <w:pPr>
        <w:keepNext w:val="0"/>
        <w:keepLines w:val="0"/>
        <w:widowControl/>
        <w:suppressLineNumbers w:val="0"/>
        <w:jc w:val="left"/>
      </w:pPr>
      <w:r>
        <w:rPr>
          <w:rFonts w:ascii="宋体" w:hAnsi="宋体" w:eastAsia="宋体" w:cs="宋体"/>
          <w:kern w:val="0"/>
          <w:sz w:val="24"/>
          <w:szCs w:val="24"/>
          <w:lang w:val="en-US" w:eastAsia="zh-CN" w:bidi="ar"/>
        </w:rPr>
        <w:t>云端服务聚焦设备远程管控与数据智能化管理，破解传统设备维护不便、数据统计繁琐、故障突发难以预判的痛点，为客户提供高效、便捷、精准的远程服务支持，无需客户投入额外的信息化建设成本。其中，设备管理服务支持多台设备的远程集中管控，客户可通过PC端管理平台或手机端APP，随时随地实时查看每台设备的运行状态、生产数据与故障信息，无需到生产现场即可掌握生产动态，适配多设备、多工位的规模化生产场景。</w:t>
      </w:r>
    </w:p>
    <w:p w14:paraId="308A17AF">
      <w:pPr>
        <w:keepNext w:val="0"/>
        <w:keepLines w:val="0"/>
        <w:widowControl/>
        <w:suppressLineNumbers w:val="0"/>
        <w:jc w:val="left"/>
      </w:pPr>
      <w:r>
        <w:rPr>
          <w:rFonts w:ascii="宋体" w:hAnsi="宋体" w:eastAsia="宋体" w:cs="宋体"/>
          <w:kern w:val="0"/>
          <w:sz w:val="24"/>
          <w:szCs w:val="24"/>
          <w:lang w:val="en-US" w:eastAsia="zh-CN" w:bidi="ar"/>
        </w:rPr>
        <w:t>针对设备维护需求，云端服务支持远程参数调试与固件升级功能，技术人员可通过云端远程接入设备控制系统，根据客户生产需求调整生产参数，或完成固件升级优化设备性能，无需人工现场操作，大幅降低客户的维护人工成本与时间成本，尤其适配偏远地区客户或多设备集群客户的维护需求。</w:t>
      </w:r>
    </w:p>
    <w:p w14:paraId="4A94007D">
      <w:pPr>
        <w:keepNext w:val="0"/>
        <w:keepLines w:val="0"/>
        <w:widowControl/>
        <w:suppressLineNumbers w:val="0"/>
        <w:jc w:val="left"/>
      </w:pPr>
      <w:r>
        <w:rPr>
          <w:rFonts w:ascii="宋体" w:hAnsi="宋体" w:eastAsia="宋体" w:cs="宋体"/>
          <w:kern w:val="0"/>
          <w:sz w:val="24"/>
          <w:szCs w:val="24"/>
          <w:lang w:val="en-US" w:eastAsia="zh-CN" w:bidi="ar"/>
        </w:rPr>
        <w:t>数据统计服务实现生产数据的自动化采集、分析与报表生成，系统自动统计每台设备的日/周/月产量、产品合格率、废料率、设备运行时间、能耗等核心生产数据，生成标准化统计报表，支持按日、周、月灵活查询与Excel格式导出，为客户优化生产计划、调整工艺参数、控制生产成本提供精准的数据支撑，助力客户实现精细化生产管理。</w:t>
      </w:r>
    </w:p>
    <w:p w14:paraId="55E387C4">
      <w:pPr>
        <w:keepNext w:val="0"/>
        <w:keepLines w:val="0"/>
        <w:widowControl/>
        <w:suppressLineNumbers w:val="0"/>
        <w:jc w:val="left"/>
      </w:pPr>
      <w:r>
        <w:rPr>
          <w:rFonts w:ascii="宋体" w:hAnsi="宋体" w:eastAsia="宋体" w:cs="宋体"/>
          <w:kern w:val="0"/>
          <w:sz w:val="24"/>
          <w:szCs w:val="24"/>
          <w:lang w:val="en-US" w:eastAsia="zh-CN" w:bidi="ar"/>
        </w:rPr>
        <w:t>故障预警服务构建核心部件全生命周期监测体系，通过实时采集设备运行数据，分析伺服电机、PLC、传感器等核心部件的运行状态，当检测到部件磨损、性能下降等异常趋势时，提前24小时向客户PC端与手机端推送维护提醒，明确标注需维护的部件、维护方法与注意事项，帮助客户提前排查隐患，避免突发停机导致的生产损失，经实测可降低设备突发故障率60%以上。</w:t>
      </w:r>
    </w:p>
    <w:p w14:paraId="35B18451">
      <w:pPr>
        <w:pStyle w:val="4"/>
        <w:numPr>
          <w:ilvl w:val="0"/>
          <w:numId w:val="17"/>
        </w:numPr>
        <w:bidi w:val="0"/>
        <w:ind w:left="0" w:leftChars="0" w:firstLine="0" w:firstLineChars="0"/>
        <w:rPr>
          <w:rFonts w:hint="default"/>
          <w:lang w:val="en-US" w:eastAsia="zh-CN"/>
        </w:rPr>
      </w:pPr>
      <w:r>
        <w:rPr>
          <w:rFonts w:hint="default"/>
          <w:lang w:val="en-US" w:eastAsia="zh-CN"/>
        </w:rPr>
        <w:t>售后与回收服务</w:t>
      </w:r>
    </w:p>
    <w:p w14:paraId="477C6EE6">
      <w:pPr>
        <w:keepNext w:val="0"/>
        <w:keepLines w:val="0"/>
        <w:widowControl/>
        <w:suppressLineNumbers w:val="0"/>
        <w:jc w:val="left"/>
      </w:pPr>
      <w:r>
        <w:rPr>
          <w:rFonts w:ascii="宋体" w:hAnsi="宋体" w:eastAsia="宋体" w:cs="宋体"/>
          <w:kern w:val="0"/>
          <w:sz w:val="24"/>
          <w:szCs w:val="24"/>
          <w:lang w:val="en-US" w:eastAsia="zh-CN" w:bidi="ar"/>
        </w:rPr>
        <w:t>售后与回收服务坚持“全程贴心、快速响应、保障到位”的原则，覆盖设备安装调试、人员培训、质保维修、设备回收全流程，切实解决客户“不会用、修不起、难处置”的痛点，提升客户使用安全感与满意度。在安装调试阶段，项目将安排具备5年以上设备调试经验的专业技术团队，免费上门安装设备，结合客户生产车间布局与生产需求，进行现场调试与工艺参数优化，确保设备安装规范、运行稳定，直至设备达到预设生产效率与质量标准后，方可完成交付。</w:t>
      </w:r>
    </w:p>
    <w:p w14:paraId="7E56AEAB">
      <w:pPr>
        <w:keepNext w:val="0"/>
        <w:keepLines w:val="0"/>
        <w:widowControl/>
        <w:suppressLineNumbers w:val="0"/>
        <w:jc w:val="left"/>
      </w:pPr>
      <w:r>
        <w:rPr>
          <w:rFonts w:ascii="宋体" w:hAnsi="宋体" w:eastAsia="宋体" w:cs="宋体"/>
          <w:kern w:val="0"/>
          <w:sz w:val="24"/>
          <w:szCs w:val="24"/>
          <w:lang w:val="en-US" w:eastAsia="zh-CN" w:bidi="ar"/>
        </w:rPr>
        <w:t>为确保客户操作人员能够熟练管控设备，技术团队将为客户操作人员提供一对一专项培训，培训内容全面覆盖设备基础操作、日常维护保养、简单故障排查、参数调整等核心内容，培训时长不少于8课时，培训完成后将提供纸质版操作手册与高清视频教程，方便操作人员后续复习查阅，确保操作人员能够独立完成设备操作与日常维护，降低客户的人力培训成本。</w:t>
      </w:r>
    </w:p>
    <w:p w14:paraId="272F1ADD">
      <w:pPr>
        <w:keepNext w:val="0"/>
        <w:keepLines w:val="0"/>
        <w:widowControl/>
        <w:suppressLineNumbers w:val="0"/>
        <w:jc w:val="left"/>
      </w:pPr>
      <w:r>
        <w:rPr>
          <w:rFonts w:ascii="宋体" w:hAnsi="宋体" w:eastAsia="宋体" w:cs="宋体"/>
          <w:kern w:val="0"/>
          <w:sz w:val="24"/>
          <w:szCs w:val="24"/>
          <w:lang w:val="en-US" w:eastAsia="zh-CN" w:bidi="ar"/>
        </w:rPr>
        <w:t>质保服务实行分级保障，针对性覆盖设备核心部件与整机，切实降低客户后期维修成本：核心部件（PLC、伺服驱动器、触摸屏）享受1年免费质保，整机享受6个月免费维修服务；质保期内，因非人为损坏导致的设备故障，将提供免费维修服务与核心部件更换，不收取任何人工与配件费用，确保客户无额外维修负担。</w:t>
      </w:r>
    </w:p>
    <w:p w14:paraId="59430D3E">
      <w:pPr>
        <w:keepNext w:val="0"/>
        <w:keepLines w:val="0"/>
        <w:widowControl/>
        <w:suppressLineNumbers w:val="0"/>
        <w:jc w:val="left"/>
      </w:pPr>
      <w:r>
        <w:rPr>
          <w:rFonts w:ascii="宋体" w:hAnsi="宋体" w:eastAsia="宋体" w:cs="宋体"/>
          <w:kern w:val="0"/>
          <w:sz w:val="24"/>
          <w:szCs w:val="24"/>
          <w:lang w:val="en-US" w:eastAsia="zh-CN" w:bidi="ar"/>
        </w:rPr>
        <w:t>为提升故障解决效率，项目提供7×24小时全天候在线技术支持，客户可通过电话、微信、视频连线等多种便捷方式咨询问题，针对简单操作故障或参数调整问题，确保15分钟内响应并提供解决方案；针对复杂机械或电气故障，2小时内提供详细的排查与解决思路，如需现场维修，将统筹安排就近技术人员，核心区域（长三角、珠三角、京津冀）24小时内到达现场，其他区域48小时内到达现场，平均故障解决时间≤30分钟，最大限度减少停机损失。此外，项目还提供设备回收服务，针对客户淘汰的旧设备，将进行专业回收、拆解与环保处理，同时可为客户提供以旧换新优惠，降低客户设备升级成本。</w:t>
      </w:r>
    </w:p>
    <w:p w14:paraId="00AC8A5E">
      <w:pPr>
        <w:pStyle w:val="4"/>
        <w:numPr>
          <w:ilvl w:val="0"/>
          <w:numId w:val="17"/>
        </w:numPr>
        <w:bidi w:val="0"/>
        <w:ind w:left="0" w:leftChars="0" w:firstLine="0" w:firstLineChars="0"/>
        <w:rPr>
          <w:rFonts w:hint="default"/>
          <w:lang w:val="en-US" w:eastAsia="zh-CN"/>
        </w:rPr>
      </w:pPr>
      <w:r>
        <w:rPr>
          <w:rFonts w:hint="default"/>
          <w:lang w:val="en-US" w:eastAsia="zh-CN"/>
        </w:rPr>
        <w:t>定制服务</w:t>
      </w:r>
    </w:p>
    <w:p w14:paraId="42234946">
      <w:pPr>
        <w:keepNext w:val="0"/>
        <w:keepLines w:val="0"/>
        <w:widowControl/>
        <w:suppressLineNumbers w:val="0"/>
        <w:jc w:val="left"/>
      </w:pPr>
      <w:r>
        <w:rPr>
          <w:rFonts w:ascii="宋体" w:hAnsi="宋体" w:eastAsia="宋体" w:cs="宋体"/>
          <w:kern w:val="0"/>
          <w:sz w:val="24"/>
          <w:szCs w:val="24"/>
          <w:lang w:val="en-US" w:eastAsia="zh-CN" w:bidi="ar"/>
        </w:rPr>
        <w:t>定制服务聚焦客户差异化需求，打破标准化设备的局限性，结合不同客户的生产规模、产品规格、场景需求，提供个性化、专业化的定制解决方案，进一步提升设备与客户生产需求的适配度，助力客户提升核心竞争力，覆盖功能、场景、接口三大核心定制维度。</w:t>
      </w:r>
    </w:p>
    <w:p w14:paraId="1CEB8089">
      <w:pPr>
        <w:keepNext w:val="0"/>
        <w:keepLines w:val="0"/>
        <w:widowControl/>
        <w:suppressLineNumbers w:val="0"/>
        <w:jc w:val="left"/>
      </w:pPr>
      <w:r>
        <w:rPr>
          <w:rFonts w:ascii="宋体" w:hAnsi="宋体" w:eastAsia="宋体" w:cs="宋体"/>
          <w:kern w:val="0"/>
          <w:sz w:val="24"/>
          <w:szCs w:val="24"/>
          <w:lang w:val="en-US" w:eastAsia="zh-CN" w:bidi="ar"/>
        </w:rPr>
        <w:t>功能定制服务根据客户具体生产需求，为设备新增特殊功能模块，解决客户个性化生产痛点，例如针对品牌化生产需求，新增LOGO印刷模块，实现口罩表面LOGO的精准印刷，印刷精度≤0.5mm；针对高端防护口罩生产需求，新增呼吸阀孔裁切模块，裁切精度≤0.3mm，适配不同尺寸呼吸阀安装需求；针对质量管控严格的客户，新增口罩重量检测模块，实时检测口罩重量，自动筛选不合格产品，进一步提升产品合格率。同时，针对特殊规格的N95口罩（如儿童款、异形款），将定制专属的生产参数、凸轮曲线与机械结构，确保设备能够精准适配特殊规格产品生产，无需客户额外改造设备。</w:t>
      </w:r>
    </w:p>
    <w:p w14:paraId="2F9AD9F8">
      <w:pPr>
        <w:keepNext w:val="0"/>
        <w:keepLines w:val="0"/>
        <w:widowControl/>
        <w:suppressLineNumbers w:val="0"/>
        <w:jc w:val="left"/>
      </w:pPr>
      <w:r>
        <w:rPr>
          <w:rFonts w:ascii="宋体" w:hAnsi="宋体" w:eastAsia="宋体" w:cs="宋体"/>
          <w:kern w:val="0"/>
          <w:sz w:val="24"/>
          <w:szCs w:val="24"/>
          <w:lang w:val="en-US" w:eastAsia="zh-CN" w:bidi="ar"/>
        </w:rPr>
        <w:t>场景适配服务针对性覆盖不同规模与类型的客户场景，为大型防护用品生产企业提供生产线集成方案，将多套本系统设备与客户现有MES生产管理系统、仓储物流系统无缝对接，实现从原材料上料、口罩生产、质量检测到成品入库的全流程自动化管控，减少人工干预，提升整体生产效率；为应急物资生产企业提供快速扩产方案，优化设备部署流程，支持设备快速安装、调试与投产，助力客户在应急状态下快速提升产能，满足应急物资供应需求；为中小微企业提供轻量化定制方案，在控制成本的前提下，优化设备功能配置，适配中小微企业小批量、多规格的生产需求。</w:t>
      </w:r>
    </w:p>
    <w:p w14:paraId="1705D53E">
      <w:pPr>
        <w:keepNext w:val="0"/>
        <w:keepLines w:val="0"/>
        <w:widowControl/>
        <w:suppressLineNumbers w:val="0"/>
        <w:jc w:val="left"/>
      </w:pPr>
      <w:r>
        <w:rPr>
          <w:rFonts w:ascii="宋体" w:hAnsi="宋体" w:eastAsia="宋体" w:cs="宋体"/>
          <w:kern w:val="0"/>
          <w:sz w:val="24"/>
          <w:szCs w:val="24"/>
          <w:lang w:val="en-US" w:eastAsia="zh-CN" w:bidi="ar"/>
        </w:rPr>
        <w:t>接口对接服务聚焦客户数字化管理需求，支持本系统设备与客户现有ERP企业资源计划系统、MES生产管理系统无缝对接，实现生产计划、物料管理、质量追溯、数据统计的一体化管理，打破数据孤岛，确保生产数据实时同步、互联互通，助力客户实现数字化、智能化生产管理转型，提升生产管理效率与决策科学性。此外，针对有特殊通讯协议需求的客户，可定制接口通讯协议，确保设备与客户现有系统的兼容性，无需客户改造现有系统，降低客户数字化转型成本。</w:t>
      </w:r>
    </w:p>
    <w:p w14:paraId="7A169C24">
      <w:pPr>
        <w:pStyle w:val="2"/>
        <w:bidi w:val="0"/>
        <w:rPr>
          <w:rFonts w:hint="default"/>
          <w:lang w:val="en-US" w:eastAsia="zh-CN"/>
        </w:rPr>
      </w:pPr>
      <w:bookmarkStart w:id="29" w:name="_Toc32393"/>
      <w:bookmarkStart w:id="30" w:name="_Toc16810"/>
      <w:r>
        <w:rPr>
          <w:rFonts w:hint="default"/>
          <w:lang w:val="en-US" w:eastAsia="zh-CN"/>
        </w:rPr>
        <w:t>系统调试与结果</w:t>
      </w:r>
      <w:bookmarkEnd w:id="29"/>
      <w:bookmarkEnd w:id="30"/>
    </w:p>
    <w:p w14:paraId="4DB039DF">
      <w:pPr>
        <w:pStyle w:val="3"/>
        <w:numPr>
          <w:ilvl w:val="0"/>
          <w:numId w:val="18"/>
        </w:numPr>
        <w:bidi w:val="0"/>
        <w:ind w:left="0" w:leftChars="0" w:firstLine="0" w:firstLineChars="0"/>
        <w:rPr>
          <w:rFonts w:hint="default"/>
          <w:lang w:val="en-US" w:eastAsia="zh-CN"/>
        </w:rPr>
      </w:pPr>
      <w:bookmarkStart w:id="31" w:name="_Toc5295"/>
      <w:bookmarkStart w:id="32" w:name="_Toc27504"/>
      <w:r>
        <w:rPr>
          <w:rFonts w:hint="default"/>
          <w:lang w:val="en-US" w:eastAsia="zh-CN"/>
        </w:rPr>
        <w:t>系统调试</w:t>
      </w:r>
      <w:bookmarkEnd w:id="31"/>
      <w:bookmarkEnd w:id="32"/>
    </w:p>
    <w:p w14:paraId="441FE570">
      <w:pPr>
        <w:keepNext w:val="0"/>
        <w:keepLines w:val="0"/>
        <w:widowControl/>
        <w:suppressLineNumbers w:val="0"/>
        <w:jc w:val="left"/>
        <w:rPr>
          <w:rFonts w:hint="default"/>
          <w:lang w:val="en-US" w:eastAsia="zh-CN"/>
        </w:rPr>
      </w:pPr>
      <w:r>
        <w:rPr>
          <w:rFonts w:ascii="宋体" w:hAnsi="宋体" w:eastAsia="宋体" w:cs="宋体"/>
          <w:kern w:val="0"/>
          <w:sz w:val="24"/>
          <w:szCs w:val="24"/>
          <w:lang w:val="en-US" w:eastAsia="zh-CN" w:bidi="ar"/>
        </w:rPr>
        <w:t>系统调试是验证设备硬件、软件及各功能模块协同性能的核心环节，也是保障设备后续稳定运行、满足生产需求的关键前提。本次调试遵循“先分后合、先单后联、循序渐进”的原则，依次开展硬件调试、软件调试与专项调试，重点验证设备精度、效率、稳定性等核心指标，确保设备各项性能达到预设标准，与前文设备架构、核心技术及模块设计形成闭环验证。</w:t>
      </w:r>
    </w:p>
    <w:p w14:paraId="15CB7980">
      <w:pPr>
        <w:pStyle w:val="4"/>
        <w:numPr>
          <w:ilvl w:val="0"/>
          <w:numId w:val="19"/>
        </w:numPr>
        <w:bidi w:val="0"/>
        <w:ind w:left="0" w:leftChars="0" w:firstLine="0" w:firstLineChars="0"/>
        <w:rPr>
          <w:rFonts w:hint="eastAsia"/>
          <w:lang w:val="en-US" w:eastAsia="zh-CN"/>
        </w:rPr>
      </w:pPr>
      <w:r>
        <w:rPr>
          <w:rFonts w:hint="eastAsia"/>
          <w:lang w:val="en-US" w:eastAsia="zh-CN"/>
        </w:rPr>
        <w:t>硬件调试</w:t>
      </w:r>
    </w:p>
    <w:p w14:paraId="2247F592">
      <w:pPr>
        <w:keepNext w:val="0"/>
        <w:keepLines w:val="0"/>
        <w:widowControl/>
        <w:suppressLineNumbers w:val="0"/>
        <w:jc w:val="left"/>
        <w:rPr>
          <w:rFonts w:hint="eastAsia"/>
          <w:lang w:val="en-US" w:eastAsia="zh-CN"/>
        </w:rPr>
      </w:pPr>
      <w:r>
        <w:rPr>
          <w:rFonts w:ascii="宋体" w:hAnsi="宋体" w:eastAsia="宋体" w:cs="宋体"/>
          <w:kern w:val="0"/>
          <w:sz w:val="24"/>
          <w:szCs w:val="24"/>
          <w:lang w:val="en-US" w:eastAsia="zh-CN" w:bidi="ar"/>
        </w:rPr>
        <w:t>硬件调试聚焦设备各硬件模块的性能与协同性，破解硬件安装偏差、通讯异常、环境适配性不足等潜在问题，分为模块单独调试、集成调试与环境适配调试三个步骤，逐一验证硬件性能达标。</w:t>
      </w:r>
    </w:p>
    <w:p w14:paraId="7FD1EAFE">
      <w:pPr>
        <w:keepNext w:val="0"/>
        <w:keepLines w:val="0"/>
        <w:pageBreakBefore w:val="0"/>
        <w:widowControl w:val="0"/>
        <w:numPr>
          <w:ilvl w:val="0"/>
          <w:numId w:val="2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left="425" w:leftChars="0" w:hanging="425" w:firstLineChars="0"/>
        <w:textAlignment w:val="auto"/>
        <w:rPr>
          <w:rFonts w:hint="default" w:eastAsia="宋体" w:asciiTheme="minorAscii" w:hAnsiTheme="minorAscii"/>
          <w:sz w:val="24"/>
          <w:lang w:val="en-US" w:eastAsia="zh-CN"/>
        </w:rPr>
      </w:pPr>
      <w:r>
        <w:rPr>
          <w:rFonts w:hint="default" w:eastAsia="宋体" w:asciiTheme="minorAscii" w:hAnsiTheme="minorAscii"/>
          <w:sz w:val="24"/>
          <w:lang w:val="en-US" w:eastAsia="zh-CN"/>
        </w:rPr>
        <w:t>模块单独调试</w:t>
      </w:r>
    </w:p>
    <w:p w14:paraId="63E4A270">
      <w:pPr>
        <w:keepNext w:val="0"/>
        <w:keepLines w:val="0"/>
        <w:widowControl/>
        <w:suppressLineNumbers w:val="0"/>
        <w:jc w:val="left"/>
      </w:pPr>
      <w:r>
        <w:rPr>
          <w:rFonts w:ascii="宋体" w:hAnsi="宋体" w:eastAsia="宋体" w:cs="宋体"/>
          <w:kern w:val="0"/>
          <w:sz w:val="24"/>
          <w:szCs w:val="24"/>
          <w:lang w:val="en-US" w:eastAsia="zh-CN" w:bidi="ar"/>
        </w:rPr>
        <w:t>针对各硬件模块开展独立测试，避免单一模块故障影响整体调试进度，重点验证核心硬件的关键性能指标。分别测试PLC通讯稳定性，通过持续12小时通讯监测，确保无通讯中断、数据丢失现象；测试伺服电机定位精度，采用多次重复定位测试方法，实测重复定位误差≤0.01mm，满足高精度生产需求；测试传感器响应速度，模拟生产场景触发传感器信号，实测响应时间≤1ms，确保信号采集及时；测试气缸动作协调性，连续触发气缸伸缩动作1000次，实测动作延迟≤0.2s，无卡顿、异响等异常，确保各模块单独运行性能达标。</w:t>
      </w:r>
    </w:p>
    <w:p w14:paraId="3477A0F1">
      <w:pPr>
        <w:keepNext w:val="0"/>
        <w:keepLines w:val="0"/>
        <w:pageBreakBefore w:val="0"/>
        <w:widowControl w:val="0"/>
        <w:numPr>
          <w:ilvl w:val="0"/>
          <w:numId w:val="2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left="425" w:leftChars="0" w:hanging="425" w:firstLineChars="0"/>
        <w:textAlignment w:val="auto"/>
        <w:rPr>
          <w:rFonts w:hint="default" w:eastAsia="宋体" w:asciiTheme="minorAscii" w:hAnsiTheme="minorAscii"/>
          <w:sz w:val="24"/>
          <w:lang w:val="en-US" w:eastAsia="zh-CN"/>
        </w:rPr>
      </w:pPr>
      <w:r>
        <w:rPr>
          <w:rFonts w:hint="default" w:eastAsia="宋体" w:asciiTheme="minorAscii" w:hAnsiTheme="minorAscii"/>
          <w:sz w:val="24"/>
          <w:lang w:val="en-US" w:eastAsia="zh-CN"/>
        </w:rPr>
        <w:t>集成调试</w:t>
      </w:r>
    </w:p>
    <w:p w14:paraId="6C09715F">
      <w:pPr>
        <w:keepNext w:val="0"/>
        <w:keepLines w:val="0"/>
        <w:widowControl/>
        <w:suppressLineNumbers w:val="0"/>
        <w:jc w:val="left"/>
      </w:pPr>
      <w:r>
        <w:rPr>
          <w:rFonts w:ascii="宋体" w:hAnsi="宋体" w:eastAsia="宋体" w:cs="宋体"/>
          <w:kern w:val="0"/>
          <w:sz w:val="24"/>
          <w:szCs w:val="24"/>
          <w:lang w:val="en-US" w:eastAsia="zh-CN" w:bidi="ar"/>
        </w:rPr>
        <w:t>在各模块单独调试合格的基础上，开展集成调试，重点验证各模块协同工作稳定性与通讯链路可靠性。测试PLC与伺服驱动器、传感器、触摸屏的通讯链路，优化EtherCAT总线、PN总线传输参数，降低通讯延迟，确保各设备间数据交互顺畅，无通讯中断或数据丢失现象；针对供电系统开展专项测试，模拟车间电压波动场景（电压波动±10%），测试设备运行稳定性，确保设备在电压波动范围内无故障停机、性能无明显下降，保障生产连续性。</w:t>
      </w:r>
    </w:p>
    <w:p w14:paraId="7200EAA1">
      <w:pPr>
        <w:keepNext w:val="0"/>
        <w:keepLines w:val="0"/>
        <w:pageBreakBefore w:val="0"/>
        <w:widowControl w:val="0"/>
        <w:numPr>
          <w:ilvl w:val="0"/>
          <w:numId w:val="2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left="425" w:leftChars="0" w:hanging="425" w:firstLineChars="0"/>
        <w:textAlignment w:val="auto"/>
        <w:rPr>
          <w:rFonts w:hint="default" w:eastAsia="宋体" w:asciiTheme="minorAscii" w:hAnsiTheme="minorAscii"/>
          <w:sz w:val="24"/>
          <w:lang w:val="en-US" w:eastAsia="zh-CN"/>
        </w:rPr>
      </w:pPr>
      <w:r>
        <w:rPr>
          <w:rFonts w:hint="default" w:eastAsia="宋体" w:asciiTheme="minorAscii" w:hAnsiTheme="minorAscii"/>
          <w:sz w:val="24"/>
          <w:lang w:val="en-US" w:eastAsia="zh-CN"/>
        </w:rPr>
        <w:t>环境适配调试</w:t>
      </w:r>
    </w:p>
    <w:p w14:paraId="597D983D">
      <w:pPr>
        <w:keepNext w:val="0"/>
        <w:keepLines w:val="0"/>
        <w:widowControl/>
        <w:suppressLineNumbers w:val="0"/>
        <w:jc w:val="left"/>
        <w:rPr>
          <w:rFonts w:hint="default" w:eastAsia="宋体" w:asciiTheme="minorAscii" w:hAnsiTheme="minorAscii"/>
          <w:sz w:val="24"/>
          <w:lang w:val="en-US" w:eastAsia="zh-CN"/>
        </w:rPr>
      </w:pPr>
      <w:r>
        <w:rPr>
          <w:rFonts w:ascii="宋体" w:hAnsi="宋体" w:eastAsia="宋体" w:cs="宋体"/>
          <w:kern w:val="0"/>
          <w:sz w:val="24"/>
          <w:szCs w:val="24"/>
          <w:lang w:val="en-US" w:eastAsia="zh-CN" w:bidi="ar"/>
        </w:rPr>
        <w:t>结合车间实际生产环境，模拟高温、低温、粉尘等复杂场景，开展环境适配调试，验证设备防护性能与运行稳定性。在高温环境（45℃）下，持续运行设备24小时，监测核心部件温度，调整散热装置参数，确保部件温度控制在安全范围；在低温环境（-5℃）下，测试设备启动性能与运行稳定性，避免低温导致的部件卡顿、通讯异常；在粉尘环境（10mg/m³）下，持续运行设备48小时，检查设备密封性能，调整防护措施，确保粉尘不进入核心部件，设备无故障运行，适配车间复杂生产环境。</w:t>
      </w:r>
    </w:p>
    <w:p w14:paraId="565CC72A">
      <w:pPr>
        <w:pStyle w:val="4"/>
        <w:numPr>
          <w:ilvl w:val="0"/>
          <w:numId w:val="19"/>
        </w:numPr>
        <w:bidi w:val="0"/>
        <w:ind w:left="0" w:leftChars="0" w:firstLine="0" w:firstLineChars="0"/>
        <w:rPr>
          <w:rFonts w:hint="default"/>
          <w:lang w:val="en-US" w:eastAsia="zh-CN"/>
        </w:rPr>
      </w:pPr>
      <w:r>
        <w:rPr>
          <w:rFonts w:hint="default"/>
          <w:lang w:val="en-US" w:eastAsia="zh-CN"/>
        </w:rPr>
        <w:t>软件调试</w:t>
      </w:r>
    </w:p>
    <w:p w14:paraId="750D17DB">
      <w:pPr>
        <w:keepNext w:val="0"/>
        <w:keepLines w:val="0"/>
        <w:widowControl/>
        <w:suppressLineNumbers w:val="0"/>
        <w:jc w:val="left"/>
        <w:rPr>
          <w:rFonts w:hint="default"/>
          <w:lang w:val="en-US" w:eastAsia="zh-CN"/>
        </w:rPr>
      </w:pPr>
      <w:r>
        <w:rPr>
          <w:rFonts w:ascii="宋体" w:hAnsi="宋体" w:eastAsia="宋体" w:cs="宋体"/>
          <w:kern w:val="0"/>
          <w:sz w:val="24"/>
          <w:szCs w:val="24"/>
          <w:lang w:val="en-US" w:eastAsia="zh-CN" w:bidi="ar"/>
        </w:rPr>
        <w:t>软件调试聚焦软件功能的完整性、精准性与稳定性，依托硬件调试基础，验证软件与硬件的适配性，优化软件性能，解决程序冗余、动作不同步等问题，确保软件能够精准管控各硬件模块，实现预设功能。</w:t>
      </w:r>
    </w:p>
    <w:p w14:paraId="5C980728">
      <w:pPr>
        <w:ind w:left="0" w:leftChars="0" w:firstLine="0" w:firstLineChars="0"/>
        <w:jc w:val="center"/>
        <w:rPr>
          <w:rFonts w:hint="eastAsia" w:ascii="宋体" w:hAnsi="宋体" w:cs="宋体"/>
          <w:b w:val="0"/>
          <w:bCs w:val="0"/>
          <w:kern w:val="0"/>
          <w:sz w:val="24"/>
          <w:szCs w:val="16"/>
          <w:lang w:val="en-US" w:eastAsia="zh-CN" w:bidi="ar"/>
        </w:rPr>
      </w:pPr>
      <w:r>
        <w:rPr>
          <w:rFonts w:hint="eastAsia" w:ascii="宋体" w:hAnsi="宋体" w:cs="宋体"/>
          <w:b w:val="0"/>
          <w:bCs w:val="0"/>
          <w:kern w:val="0"/>
          <w:sz w:val="24"/>
          <w:szCs w:val="16"/>
          <w:lang w:val="en-US" w:eastAsia="zh-CN" w:bidi="ar"/>
        </w:rPr>
        <w:drawing>
          <wp:inline distT="0" distB="0" distL="114300" distR="114300">
            <wp:extent cx="4436110" cy="3326765"/>
            <wp:effectExtent l="0" t="0" r="8890" b="635"/>
            <wp:docPr id="34" name="图片 34" descr="微信图片_20260123181721_41_4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微信图片_20260123181721_41_4254"/>
                    <pic:cNvPicPr>
                      <a:picLocks noChangeAspect="1"/>
                    </pic:cNvPicPr>
                  </pic:nvPicPr>
                  <pic:blipFill>
                    <a:blip r:embed="rId26"/>
                    <a:stretch>
                      <a:fillRect/>
                    </a:stretch>
                  </pic:blipFill>
                  <pic:spPr>
                    <a:xfrm>
                      <a:off x="0" y="0"/>
                      <a:ext cx="4436110" cy="3326765"/>
                    </a:xfrm>
                    <a:prstGeom prst="rect">
                      <a:avLst/>
                    </a:prstGeom>
                  </pic:spPr>
                </pic:pic>
              </a:graphicData>
            </a:graphic>
          </wp:inline>
        </w:drawing>
      </w:r>
    </w:p>
    <w:p w14:paraId="54F28AD5">
      <w:pPr>
        <w:ind w:left="0" w:leftChars="0" w:firstLine="0" w:firstLineChars="0"/>
        <w:jc w:val="center"/>
        <w:rPr>
          <w:rFonts w:ascii="宋体" w:hAnsi="宋体" w:eastAsia="宋体" w:cs="宋体"/>
          <w:sz w:val="24"/>
          <w:szCs w:val="24"/>
        </w:rPr>
      </w:pPr>
      <w:r>
        <w:rPr>
          <w:rFonts w:hint="eastAsia" w:ascii="宋体" w:hAnsi="宋体" w:cs="宋体"/>
          <w:b w:val="0"/>
          <w:bCs w:val="0"/>
          <w:kern w:val="0"/>
          <w:sz w:val="24"/>
          <w:szCs w:val="16"/>
          <w:lang w:val="en-US" w:eastAsia="zh-CN" w:bidi="ar"/>
        </w:rPr>
        <w:t>图4</w:t>
      </w:r>
      <w:r>
        <w:rPr>
          <w:rFonts w:hint="eastAsia" w:ascii="宋体" w:hAnsi="宋体" w:eastAsia="宋体" w:cs="宋体"/>
          <w:b w:val="0"/>
          <w:bCs w:val="0"/>
          <w:kern w:val="0"/>
          <w:sz w:val="24"/>
          <w:szCs w:val="16"/>
          <w:lang w:val="en-US" w:eastAsia="zh-CN" w:bidi="ar"/>
        </w:rPr>
        <w:t>.</w:t>
      </w:r>
      <w:r>
        <w:rPr>
          <w:rFonts w:hint="eastAsia" w:ascii="宋体" w:hAnsi="宋体" w:cs="宋体"/>
          <w:b w:val="0"/>
          <w:bCs w:val="0"/>
          <w:kern w:val="0"/>
          <w:sz w:val="24"/>
          <w:szCs w:val="16"/>
          <w:lang w:val="en-US" w:eastAsia="zh-CN" w:bidi="ar"/>
        </w:rPr>
        <w:t>1</w:t>
      </w:r>
      <w:r>
        <w:rPr>
          <w:rFonts w:hint="eastAsia" w:ascii="宋体" w:hAnsi="宋体" w:eastAsia="宋体" w:cs="宋体"/>
          <w:b w:val="0"/>
          <w:bCs w:val="0"/>
          <w:kern w:val="0"/>
          <w:sz w:val="24"/>
          <w:szCs w:val="16"/>
          <w:lang w:val="en-US" w:eastAsia="zh-CN" w:bidi="ar"/>
        </w:rPr>
        <w:t xml:space="preserve"> </w:t>
      </w:r>
      <w:r>
        <w:rPr>
          <w:rFonts w:ascii="宋体" w:hAnsi="宋体" w:eastAsia="宋体" w:cs="宋体"/>
          <w:sz w:val="24"/>
          <w:szCs w:val="24"/>
        </w:rPr>
        <w:t>伺服驱动器参数配置图</w:t>
      </w:r>
    </w:p>
    <w:p w14:paraId="5406F6AB">
      <w:pPr>
        <w:keepNext w:val="0"/>
        <w:keepLines w:val="0"/>
        <w:widowControl/>
        <w:suppressLineNumbers w:val="0"/>
        <w:jc w:val="left"/>
        <w:rPr>
          <w:rFonts w:hint="default" w:ascii="宋体" w:hAnsi="宋体" w:eastAsia="宋体" w:cs="宋体"/>
          <w:sz w:val="24"/>
          <w:szCs w:val="24"/>
          <w:lang w:val="en-US" w:eastAsia="zh-CN"/>
        </w:rPr>
      </w:pPr>
      <w:r>
        <w:rPr>
          <w:rFonts w:ascii="宋体" w:hAnsi="宋体" w:eastAsia="宋体" w:cs="宋体"/>
          <w:kern w:val="0"/>
          <w:sz w:val="24"/>
          <w:szCs w:val="24"/>
          <w:lang w:val="en-US" w:eastAsia="zh-CN" w:bidi="ar"/>
        </w:rPr>
        <w:t>图4.1所示伺服驱动器参数配置图，为软件调试中伺服参数优化的核心参考依据，通过该界面可精准设置伺服电机转速、加速度、定位精度等参数，与软件调试中的核心功能调试、性能优化步骤紧密衔接，确保伺服驱动与软件控制逻辑精准匹配。</w:t>
      </w:r>
    </w:p>
    <w:p w14:paraId="41F84562">
      <w:pPr>
        <w:keepNext w:val="0"/>
        <w:keepLines w:val="0"/>
        <w:pageBreakBefore w:val="0"/>
        <w:widowControl w:val="0"/>
        <w:numPr>
          <w:ilvl w:val="0"/>
          <w:numId w:val="21"/>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left="425" w:leftChars="0" w:hanging="425" w:firstLineChars="0"/>
        <w:textAlignment w:val="auto"/>
        <w:rPr>
          <w:rFonts w:hint="default" w:eastAsia="宋体" w:asciiTheme="minorAscii" w:hAnsiTheme="minorAscii"/>
          <w:sz w:val="24"/>
          <w:lang w:val="en-US" w:eastAsia="zh-CN"/>
        </w:rPr>
      </w:pPr>
      <w:r>
        <w:rPr>
          <w:rFonts w:hint="default" w:eastAsia="宋体" w:asciiTheme="minorAscii" w:hAnsiTheme="minorAscii"/>
          <w:sz w:val="24"/>
          <w:lang w:val="en-US" w:eastAsia="zh-CN"/>
        </w:rPr>
        <w:t>核心功能调试</w:t>
      </w:r>
    </w:p>
    <w:p w14:paraId="4CC57AFC">
      <w:pPr>
        <w:keepNext w:val="0"/>
        <w:keepLines w:val="0"/>
        <w:widowControl/>
        <w:suppressLineNumbers w:val="0"/>
        <w:jc w:val="left"/>
      </w:pPr>
      <w:r>
        <w:rPr>
          <w:rFonts w:ascii="宋体" w:hAnsi="宋体" w:eastAsia="宋体" w:cs="宋体"/>
          <w:kern w:val="0"/>
          <w:sz w:val="24"/>
          <w:szCs w:val="24"/>
          <w:lang w:val="en-US" w:eastAsia="zh-CN" w:bidi="ar"/>
        </w:rPr>
        <w:t>重点测试软件核心控制功能，验证其精准性与响应速度，贴合实际生产需求。测试定标/定长双生产模式的生产精度，定标模式下，通过色标检测自动调整口罩长度，实测口罩长度误差≤0.5mm，适配不同批次布料的色标偏差；定长模式下，直接按预设参数控制口罩长度，实测长度误差≤0.3mm，满足固定规格生产需求；测试凸轮协同控制同步性，确保焊耳、封边等工序与主轴运动精准匹配；测试一键提速功能响应速度，从60片/分钟升至180片/分钟，实测响应时间≤5s，提速过程平稳，无动作卡顿或精度偏差。</w:t>
      </w:r>
    </w:p>
    <w:p w14:paraId="1F0E3D19">
      <w:pPr>
        <w:keepNext w:val="0"/>
        <w:keepLines w:val="0"/>
        <w:pageBreakBefore w:val="0"/>
        <w:widowControl w:val="0"/>
        <w:numPr>
          <w:ilvl w:val="0"/>
          <w:numId w:val="21"/>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left="425" w:leftChars="0" w:hanging="425" w:firstLineChars="0"/>
        <w:textAlignment w:val="auto"/>
        <w:rPr>
          <w:rFonts w:hint="default" w:eastAsia="宋体" w:asciiTheme="minorAscii" w:hAnsiTheme="minorAscii"/>
          <w:sz w:val="24"/>
          <w:lang w:val="en-US" w:eastAsia="zh-CN"/>
        </w:rPr>
      </w:pPr>
      <w:r>
        <w:rPr>
          <w:rFonts w:hint="default" w:eastAsia="宋体" w:asciiTheme="minorAscii" w:hAnsiTheme="minorAscii"/>
          <w:sz w:val="24"/>
          <w:lang w:val="en-US" w:eastAsia="zh-CN"/>
        </w:rPr>
        <w:t>性能优化</w:t>
      </w:r>
    </w:p>
    <w:p w14:paraId="58454974">
      <w:pPr>
        <w:keepNext w:val="0"/>
        <w:keepLines w:val="0"/>
        <w:widowControl/>
        <w:suppressLineNumbers w:val="0"/>
        <w:jc w:val="left"/>
      </w:pPr>
      <w:r>
        <w:rPr>
          <w:rFonts w:ascii="宋体" w:hAnsi="宋体" w:eastAsia="宋体" w:cs="宋体"/>
          <w:kern w:val="0"/>
          <w:sz w:val="24"/>
          <w:szCs w:val="24"/>
          <w:lang w:val="en-US" w:eastAsia="zh-CN" w:bidi="ar"/>
        </w:rPr>
        <w:t>针对软件运行中的短板，开展性能优化，提升软件运行效率与稳定性。优化PLC控制程序，删减冗余逻辑，简化指令流程，提升程序运行效率，减少指令响应延迟；调整凸轮曲线参数，优化伺服电机加速度与跃度，减少电机运动冲击，降低部件磨损，提升设备运行稳定性。优化后，开展连续24小时运行测试，设备无卡顿、无程序崩溃现象，软件控制精度与运行效率显著提升。</w:t>
      </w:r>
    </w:p>
    <w:p w14:paraId="6BD2F2DA">
      <w:pPr>
        <w:keepNext w:val="0"/>
        <w:keepLines w:val="0"/>
        <w:pageBreakBefore w:val="0"/>
        <w:widowControl w:val="0"/>
        <w:numPr>
          <w:ilvl w:val="0"/>
          <w:numId w:val="21"/>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left="425" w:leftChars="0" w:hanging="425" w:firstLineChars="0"/>
        <w:textAlignment w:val="auto"/>
        <w:rPr>
          <w:rFonts w:hint="default" w:eastAsia="宋体" w:asciiTheme="minorAscii" w:hAnsiTheme="minorAscii"/>
          <w:sz w:val="24"/>
          <w:lang w:val="en-US" w:eastAsia="zh-CN"/>
        </w:rPr>
      </w:pPr>
      <w:r>
        <w:rPr>
          <w:rFonts w:hint="default" w:eastAsia="宋体" w:asciiTheme="minorAscii" w:hAnsiTheme="minorAscii"/>
          <w:sz w:val="24"/>
          <w:lang w:val="en-US" w:eastAsia="zh-CN"/>
        </w:rPr>
        <w:t>压力测试</w:t>
      </w:r>
    </w:p>
    <w:p w14:paraId="04BEBD01">
      <w:pPr>
        <w:keepNext w:val="0"/>
        <w:keepLines w:val="0"/>
        <w:widowControl/>
        <w:suppressLineNumbers w:val="0"/>
        <w:jc w:val="left"/>
      </w:pPr>
      <w:r>
        <w:rPr>
          <w:rFonts w:ascii="宋体" w:hAnsi="宋体" w:eastAsia="宋体" w:cs="宋体"/>
          <w:kern w:val="0"/>
          <w:sz w:val="24"/>
          <w:szCs w:val="24"/>
          <w:lang w:val="en-US" w:eastAsia="zh-CN" w:bidi="ar"/>
        </w:rPr>
        <w:t>为验证软件长期运行可靠性，开展72小时连续满负荷压力测试，设置生产速度为180片/分钟，持续监测设备运行状态、生产效率、能耗变化及故障情况，重点验证软件在高负荷场景下的稳定性，为后续实际生产应用提供数据支撑。</w:t>
      </w:r>
    </w:p>
    <w:p w14:paraId="2CD0BDBD">
      <w:pPr>
        <w:pStyle w:val="4"/>
        <w:numPr>
          <w:ilvl w:val="0"/>
          <w:numId w:val="19"/>
        </w:numPr>
        <w:bidi w:val="0"/>
        <w:ind w:left="0" w:leftChars="0" w:firstLine="0" w:firstLineChars="0"/>
        <w:rPr>
          <w:rFonts w:hint="default"/>
          <w:lang w:val="en-US" w:eastAsia="zh-CN"/>
        </w:rPr>
      </w:pPr>
      <w:r>
        <w:rPr>
          <w:rFonts w:hint="default"/>
          <w:lang w:val="en-US" w:eastAsia="zh-CN"/>
        </w:rPr>
        <w:t>专项调试</w:t>
      </w:r>
    </w:p>
    <w:p w14:paraId="49DE49B4">
      <w:pPr>
        <w:keepNext w:val="0"/>
        <w:keepLines w:val="0"/>
        <w:widowControl/>
        <w:suppressLineNumbers w:val="0"/>
        <w:jc w:val="left"/>
        <w:rPr>
          <w:rFonts w:hint="default"/>
          <w:lang w:val="en-US" w:eastAsia="zh-CN"/>
        </w:rPr>
      </w:pPr>
      <w:r>
        <w:rPr>
          <w:rFonts w:ascii="宋体" w:hAnsi="宋体" w:eastAsia="宋体" w:cs="宋体"/>
          <w:kern w:val="0"/>
          <w:sz w:val="24"/>
          <w:szCs w:val="24"/>
          <w:lang w:val="en-US" w:eastAsia="zh-CN" w:bidi="ar"/>
        </w:rPr>
        <w:t>结合设备核心性能指标，开展专项调试，采用标准化测试方法，明确合格标准，全面验证设备各项性能，确保设备能够满足实际生产需求，专项调试具体内容、测试方法及合格标准如下表所示。</w:t>
      </w:r>
    </w:p>
    <w:tbl>
      <w:tblPr>
        <w:tblStyle w:val="14"/>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895"/>
        <w:gridCol w:w="4259"/>
        <w:gridCol w:w="2512"/>
      </w:tblGrid>
      <w:tr w14:paraId="05008B20">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nil"/>
              <w:left w:val="nil"/>
              <w:bottom w:val="single" w:color="000000" w:sz="4" w:space="0"/>
              <w:right w:val="single" w:color="000000" w:sz="4" w:space="0"/>
            </w:tcBorders>
            <w:shd w:val="clear" w:color="auto" w:fill="F2F2F2"/>
            <w:tcMar>
              <w:top w:w="120" w:type="dxa"/>
              <w:left w:w="180" w:type="dxa"/>
              <w:bottom w:w="120" w:type="dxa"/>
              <w:right w:w="180" w:type="dxa"/>
            </w:tcMar>
            <w:vAlign w:val="center"/>
          </w:tcPr>
          <w:p w14:paraId="2CA613E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调试项目</w:t>
            </w:r>
          </w:p>
        </w:tc>
        <w:tc>
          <w:tcPr>
            <w:tcW w:w="0" w:type="auto"/>
            <w:tcBorders>
              <w:top w:val="nil"/>
              <w:left w:val="single" w:color="000000" w:sz="4" w:space="0"/>
              <w:bottom w:val="single" w:color="000000" w:sz="4" w:space="0"/>
              <w:right w:val="single" w:color="000000" w:sz="4" w:space="0"/>
            </w:tcBorders>
            <w:shd w:val="clear" w:color="auto" w:fill="F2F2F2"/>
            <w:tcMar>
              <w:top w:w="120" w:type="dxa"/>
              <w:left w:w="180" w:type="dxa"/>
              <w:bottom w:w="120" w:type="dxa"/>
              <w:right w:w="180" w:type="dxa"/>
            </w:tcMar>
            <w:vAlign w:val="center"/>
          </w:tcPr>
          <w:p w14:paraId="4791710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测试方法</w:t>
            </w:r>
          </w:p>
        </w:tc>
        <w:tc>
          <w:tcPr>
            <w:tcW w:w="0" w:type="auto"/>
            <w:tcBorders>
              <w:top w:val="nil"/>
              <w:left w:val="single" w:color="000000" w:sz="4" w:space="0"/>
              <w:bottom w:val="single" w:color="000000" w:sz="4" w:space="0"/>
              <w:right w:val="nil"/>
            </w:tcBorders>
            <w:shd w:val="clear" w:color="auto" w:fill="F2F2F2"/>
            <w:tcMar>
              <w:top w:w="120" w:type="dxa"/>
              <w:left w:w="180" w:type="dxa"/>
              <w:bottom w:w="120" w:type="dxa"/>
              <w:right w:w="180" w:type="dxa"/>
            </w:tcMar>
            <w:vAlign w:val="center"/>
          </w:tcPr>
          <w:p w14:paraId="2AA1E80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合格标准</w:t>
            </w:r>
          </w:p>
        </w:tc>
      </w:tr>
      <w:tr w14:paraId="33BB926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895" w:type="dxa"/>
            <w:tcBorders>
              <w:top w:val="single" w:color="000000" w:sz="4" w:space="0"/>
              <w:left w:val="nil"/>
              <w:bottom w:val="single" w:color="000000" w:sz="4" w:space="0"/>
              <w:right w:val="single" w:color="000000" w:sz="4" w:space="0"/>
            </w:tcBorders>
            <w:shd w:val="clear" w:color="auto" w:fill="FFFFFF"/>
            <w:tcMar>
              <w:top w:w="120" w:type="dxa"/>
              <w:left w:w="180" w:type="dxa"/>
              <w:bottom w:w="120" w:type="dxa"/>
              <w:right w:w="180" w:type="dxa"/>
            </w:tcMar>
            <w:vAlign w:val="center"/>
          </w:tcPr>
          <w:p w14:paraId="6C6F958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生产精度</w:t>
            </w:r>
          </w:p>
        </w:tc>
        <w:tc>
          <w:tcPr>
            <w:tcW w:w="4259"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6EC90D5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生产 1000 片口罩，检测耳带焊接位置、裁切尺寸</w:t>
            </w:r>
          </w:p>
        </w:tc>
        <w:tc>
          <w:tcPr>
            <w:tcW w:w="2512" w:type="dxa"/>
            <w:tcBorders>
              <w:top w:val="single" w:color="000000" w:sz="4" w:space="0"/>
              <w:left w:val="single" w:color="000000" w:sz="4" w:space="0"/>
              <w:bottom w:val="single" w:color="000000" w:sz="4" w:space="0"/>
              <w:right w:val="nil"/>
            </w:tcBorders>
            <w:shd w:val="clear" w:color="auto" w:fill="FFFFFF"/>
            <w:tcMar>
              <w:top w:w="120" w:type="dxa"/>
              <w:left w:w="180" w:type="dxa"/>
              <w:bottom w:w="120" w:type="dxa"/>
              <w:right w:w="180" w:type="dxa"/>
            </w:tcMar>
            <w:vAlign w:val="center"/>
          </w:tcPr>
          <w:p w14:paraId="1A4E4D6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耳带偏差≤2mm，裁切偏差≤0.5mm</w:t>
            </w:r>
          </w:p>
        </w:tc>
      </w:tr>
      <w:tr w14:paraId="63AE6EE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895" w:type="dxa"/>
            <w:tcBorders>
              <w:top w:val="single" w:color="000000" w:sz="4" w:space="0"/>
              <w:left w:val="nil"/>
              <w:bottom w:val="single" w:color="000000" w:sz="4" w:space="0"/>
              <w:right w:val="single" w:color="000000" w:sz="4" w:space="0"/>
            </w:tcBorders>
            <w:shd w:val="clear" w:color="auto" w:fill="FFFFFF"/>
            <w:tcMar>
              <w:top w:w="120" w:type="dxa"/>
              <w:left w:w="180" w:type="dxa"/>
              <w:bottom w:w="120" w:type="dxa"/>
              <w:right w:w="180" w:type="dxa"/>
            </w:tcMar>
            <w:vAlign w:val="center"/>
          </w:tcPr>
          <w:p w14:paraId="2F8AC8F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生产效率</w:t>
            </w:r>
          </w:p>
        </w:tc>
        <w:tc>
          <w:tcPr>
            <w:tcW w:w="4259"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67491E4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设置不同速度（60/120/180 片 / 分钟），统计小时产量</w:t>
            </w:r>
          </w:p>
        </w:tc>
        <w:tc>
          <w:tcPr>
            <w:tcW w:w="2512" w:type="dxa"/>
            <w:tcBorders>
              <w:top w:val="single" w:color="000000" w:sz="4" w:space="0"/>
              <w:left w:val="single" w:color="000000" w:sz="4" w:space="0"/>
              <w:bottom w:val="single" w:color="000000" w:sz="4" w:space="0"/>
              <w:right w:val="nil"/>
            </w:tcBorders>
            <w:shd w:val="clear" w:color="auto" w:fill="FFFFFF"/>
            <w:tcMar>
              <w:top w:w="120" w:type="dxa"/>
              <w:left w:w="180" w:type="dxa"/>
              <w:bottom w:w="120" w:type="dxa"/>
              <w:right w:w="180" w:type="dxa"/>
            </w:tcMar>
            <w:vAlign w:val="center"/>
          </w:tcPr>
          <w:p w14:paraId="0CFDEFC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产量达标，无明显波动</w:t>
            </w:r>
          </w:p>
        </w:tc>
      </w:tr>
      <w:tr w14:paraId="54DE899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895" w:type="dxa"/>
            <w:tcBorders>
              <w:top w:val="single" w:color="000000" w:sz="4" w:space="0"/>
              <w:left w:val="nil"/>
              <w:bottom w:val="single" w:color="000000" w:sz="4" w:space="0"/>
              <w:right w:val="single" w:color="000000" w:sz="4" w:space="0"/>
            </w:tcBorders>
            <w:shd w:val="clear" w:color="auto" w:fill="FFFFFF"/>
            <w:tcMar>
              <w:top w:w="120" w:type="dxa"/>
              <w:left w:w="180" w:type="dxa"/>
              <w:bottom w:w="120" w:type="dxa"/>
              <w:right w:w="180" w:type="dxa"/>
            </w:tcMar>
            <w:vAlign w:val="center"/>
          </w:tcPr>
          <w:p w14:paraId="7295325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同步性</w:t>
            </w:r>
          </w:p>
        </w:tc>
        <w:tc>
          <w:tcPr>
            <w:tcW w:w="4259"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24CDDD7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监测各伺服轴运动曲线，分析与主轴的同步误差</w:t>
            </w:r>
          </w:p>
        </w:tc>
        <w:tc>
          <w:tcPr>
            <w:tcW w:w="2512" w:type="dxa"/>
            <w:tcBorders>
              <w:top w:val="single" w:color="000000" w:sz="4" w:space="0"/>
              <w:left w:val="single" w:color="000000" w:sz="4" w:space="0"/>
              <w:bottom w:val="single" w:color="000000" w:sz="4" w:space="0"/>
              <w:right w:val="nil"/>
            </w:tcBorders>
            <w:shd w:val="clear" w:color="auto" w:fill="FFFFFF"/>
            <w:tcMar>
              <w:top w:w="120" w:type="dxa"/>
              <w:left w:w="180" w:type="dxa"/>
              <w:bottom w:w="120" w:type="dxa"/>
              <w:right w:w="180" w:type="dxa"/>
            </w:tcMar>
            <w:vAlign w:val="center"/>
          </w:tcPr>
          <w:p w14:paraId="60301E1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同步误差≤1ms</w:t>
            </w:r>
          </w:p>
        </w:tc>
      </w:tr>
      <w:tr w14:paraId="7FBDF15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895" w:type="dxa"/>
            <w:tcBorders>
              <w:top w:val="single" w:color="000000" w:sz="4" w:space="0"/>
              <w:left w:val="nil"/>
              <w:bottom w:val="single" w:color="000000" w:sz="4" w:space="0"/>
              <w:right w:val="single" w:color="000000" w:sz="4" w:space="0"/>
            </w:tcBorders>
            <w:shd w:val="clear" w:color="auto" w:fill="FFFFFF"/>
            <w:tcMar>
              <w:top w:w="120" w:type="dxa"/>
              <w:left w:w="180" w:type="dxa"/>
              <w:bottom w:w="120" w:type="dxa"/>
              <w:right w:w="180" w:type="dxa"/>
            </w:tcMar>
            <w:vAlign w:val="center"/>
          </w:tcPr>
          <w:p w14:paraId="68E7C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稳定性</w:t>
            </w:r>
          </w:p>
        </w:tc>
        <w:tc>
          <w:tcPr>
            <w:tcW w:w="4259"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0D45D48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连续 72 小时满负荷运行，记录故障次数</w:t>
            </w:r>
          </w:p>
        </w:tc>
        <w:tc>
          <w:tcPr>
            <w:tcW w:w="2512" w:type="dxa"/>
            <w:tcBorders>
              <w:top w:val="single" w:color="000000" w:sz="4" w:space="0"/>
              <w:left w:val="single" w:color="000000" w:sz="4" w:space="0"/>
              <w:bottom w:val="single" w:color="000000" w:sz="4" w:space="0"/>
              <w:right w:val="nil"/>
            </w:tcBorders>
            <w:shd w:val="clear" w:color="auto" w:fill="FFFFFF"/>
            <w:tcMar>
              <w:top w:w="120" w:type="dxa"/>
              <w:left w:w="180" w:type="dxa"/>
              <w:bottom w:w="120" w:type="dxa"/>
              <w:right w:w="180" w:type="dxa"/>
            </w:tcMar>
            <w:vAlign w:val="center"/>
          </w:tcPr>
          <w:p w14:paraId="22C2B5C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无故障，效率波动≤3%</w:t>
            </w:r>
          </w:p>
        </w:tc>
      </w:tr>
      <w:tr w14:paraId="16257E3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895" w:type="dxa"/>
            <w:tcBorders>
              <w:top w:val="single" w:color="000000" w:sz="4" w:space="0"/>
              <w:left w:val="nil"/>
              <w:bottom w:val="nil"/>
              <w:right w:val="single" w:color="000000" w:sz="4" w:space="0"/>
            </w:tcBorders>
            <w:shd w:val="clear" w:color="auto" w:fill="FFFFFF"/>
            <w:tcMar>
              <w:top w:w="120" w:type="dxa"/>
              <w:left w:w="180" w:type="dxa"/>
              <w:bottom w:w="120" w:type="dxa"/>
              <w:right w:w="180" w:type="dxa"/>
            </w:tcMar>
            <w:vAlign w:val="center"/>
          </w:tcPr>
          <w:p w14:paraId="37287E0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能耗测试</w:t>
            </w:r>
          </w:p>
        </w:tc>
        <w:tc>
          <w:tcPr>
            <w:tcW w:w="4259" w:type="dxa"/>
            <w:tcBorders>
              <w:top w:val="single" w:color="000000" w:sz="4" w:space="0"/>
              <w:left w:val="single" w:color="000000" w:sz="4" w:space="0"/>
              <w:bottom w:val="nil"/>
              <w:right w:val="single" w:color="000000" w:sz="4" w:space="0"/>
            </w:tcBorders>
            <w:shd w:val="clear" w:color="auto" w:fill="FFFFFF"/>
            <w:tcMar>
              <w:top w:w="120" w:type="dxa"/>
              <w:left w:w="180" w:type="dxa"/>
              <w:bottom w:w="120" w:type="dxa"/>
              <w:right w:w="180" w:type="dxa"/>
            </w:tcMar>
            <w:vAlign w:val="center"/>
          </w:tcPr>
          <w:p w14:paraId="1FAC442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连续运行 8 小时，记录耗电量</w:t>
            </w:r>
          </w:p>
        </w:tc>
        <w:tc>
          <w:tcPr>
            <w:tcW w:w="2512" w:type="dxa"/>
            <w:tcBorders>
              <w:top w:val="single" w:color="000000" w:sz="4" w:space="0"/>
              <w:left w:val="single" w:color="000000" w:sz="4" w:space="0"/>
              <w:bottom w:val="nil"/>
              <w:right w:val="nil"/>
            </w:tcBorders>
            <w:shd w:val="clear" w:color="auto" w:fill="FFFFFF"/>
            <w:tcMar>
              <w:top w:w="120" w:type="dxa"/>
              <w:left w:w="180" w:type="dxa"/>
              <w:bottom w:w="120" w:type="dxa"/>
              <w:right w:w="180" w:type="dxa"/>
            </w:tcMar>
            <w:vAlign w:val="center"/>
          </w:tcPr>
          <w:p w14:paraId="08D3832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≤30kWh</w:t>
            </w:r>
          </w:p>
        </w:tc>
      </w:tr>
    </w:tbl>
    <w:p w14:paraId="26DA2C2C">
      <w:pPr>
        <w:keepNext w:val="0"/>
        <w:keepLines w:val="0"/>
        <w:pageBreakBefore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leftChars="0"/>
        <w:jc w:val="center"/>
        <w:textAlignment w:val="auto"/>
        <w:outlineLvl w:val="9"/>
        <w:rPr>
          <w:rFonts w:hint="default"/>
          <w:lang w:val="en-US" w:eastAsia="zh-CN"/>
        </w:rPr>
      </w:pPr>
      <w:bookmarkStart w:id="33" w:name="_Toc6962"/>
      <w:r>
        <w:rPr>
          <w:rFonts w:hint="eastAsia" w:ascii="宋体" w:hAnsi="宋体" w:eastAsia="宋体" w:cs="宋体"/>
          <w:b w:val="0"/>
          <w:bCs w:val="0"/>
          <w:kern w:val="0"/>
          <w:sz w:val="24"/>
          <w:szCs w:val="16"/>
          <w:lang w:val="en-US" w:eastAsia="zh-CN" w:bidi="ar"/>
        </w:rPr>
        <w:t>表4.1</w:t>
      </w:r>
      <w:r>
        <w:rPr>
          <w:rFonts w:hint="eastAsia" w:ascii="宋体" w:hAnsi="宋体" w:cs="宋体"/>
          <w:b w:val="0"/>
          <w:bCs w:val="0"/>
          <w:kern w:val="0"/>
          <w:sz w:val="24"/>
          <w:szCs w:val="16"/>
          <w:lang w:val="en-US" w:eastAsia="zh-CN" w:bidi="ar"/>
        </w:rPr>
        <w:t xml:space="preserve"> </w:t>
      </w:r>
      <w:r>
        <w:rPr>
          <w:rFonts w:hint="default" w:ascii="宋体" w:hAnsi="宋体" w:eastAsia="宋体" w:cs="宋体"/>
          <w:b w:val="0"/>
          <w:bCs w:val="0"/>
          <w:kern w:val="0"/>
          <w:sz w:val="24"/>
          <w:szCs w:val="16"/>
          <w:lang w:val="en-US" w:eastAsia="zh-CN" w:bidi="ar"/>
        </w:rPr>
        <w:t>专项调试</w:t>
      </w:r>
      <w:r>
        <w:rPr>
          <w:rFonts w:hint="eastAsia" w:ascii="宋体" w:hAnsi="宋体" w:cs="宋体"/>
          <w:b w:val="0"/>
          <w:bCs w:val="0"/>
          <w:kern w:val="0"/>
          <w:sz w:val="24"/>
          <w:szCs w:val="16"/>
          <w:lang w:val="en-US" w:eastAsia="zh-CN" w:bidi="ar"/>
        </w:rPr>
        <w:t>详情表</w:t>
      </w:r>
    </w:p>
    <w:p w14:paraId="46A6637D">
      <w:pPr>
        <w:pStyle w:val="3"/>
        <w:numPr>
          <w:ilvl w:val="0"/>
          <w:numId w:val="18"/>
        </w:numPr>
        <w:bidi w:val="0"/>
        <w:ind w:left="0" w:leftChars="0" w:firstLine="0" w:firstLineChars="0"/>
        <w:rPr>
          <w:rFonts w:hint="default"/>
          <w:lang w:val="en-US" w:eastAsia="zh-CN"/>
        </w:rPr>
      </w:pPr>
      <w:bookmarkStart w:id="34" w:name="_Toc29640"/>
      <w:r>
        <w:rPr>
          <w:rFonts w:hint="default"/>
          <w:lang w:val="en-US" w:eastAsia="zh-CN"/>
        </w:rPr>
        <w:t>测试结果</w:t>
      </w:r>
      <w:bookmarkEnd w:id="33"/>
      <w:bookmarkEnd w:id="34"/>
    </w:p>
    <w:p w14:paraId="6AAEC413">
      <w:pPr>
        <w:pStyle w:val="4"/>
        <w:numPr>
          <w:ilvl w:val="0"/>
          <w:numId w:val="22"/>
        </w:numPr>
        <w:bidi w:val="0"/>
        <w:ind w:left="0" w:leftChars="0" w:firstLine="0" w:firstLineChars="0"/>
        <w:rPr>
          <w:rFonts w:hint="eastAsia"/>
          <w:lang w:val="en-US" w:eastAsia="zh-CN"/>
        </w:rPr>
      </w:pPr>
      <w:r>
        <w:rPr>
          <w:rFonts w:hint="eastAsia"/>
          <w:lang w:val="en-US" w:eastAsia="zh-CN"/>
        </w:rPr>
        <w:t>基本性能测试</w:t>
      </w:r>
    </w:p>
    <w:p w14:paraId="2ECFEB14">
      <w:pPr>
        <w:keepNext w:val="0"/>
        <w:keepLines w:val="0"/>
        <w:widowControl/>
        <w:suppressLineNumbers w:val="0"/>
        <w:jc w:val="left"/>
        <w:rPr>
          <w:rFonts w:hint="eastAsia"/>
          <w:lang w:val="en-US" w:eastAsia="zh-CN"/>
        </w:rPr>
      </w:pPr>
      <w:r>
        <w:rPr>
          <w:rFonts w:ascii="宋体" w:hAnsi="宋体" w:eastAsia="宋体" w:cs="宋体"/>
          <w:kern w:val="0"/>
          <w:sz w:val="24"/>
          <w:szCs w:val="24"/>
          <w:lang w:val="en-US" w:eastAsia="zh-CN" w:bidi="ar"/>
        </w:rPr>
        <w:t>基本性能测试聚焦设备生产效率、同步性、连续运行时间、日均产量与能耗五大核心指标，设置不同测试条件，记录实际测试结果，与预设合格标准对比，具体测试详情如下表所示。</w:t>
      </w:r>
    </w:p>
    <w:tbl>
      <w:tblPr>
        <w:tblStyle w:val="14"/>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624"/>
        <w:gridCol w:w="3487"/>
        <w:gridCol w:w="1995"/>
        <w:gridCol w:w="1273"/>
      </w:tblGrid>
      <w:tr w14:paraId="0D69BB7D">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nil"/>
              <w:left w:val="nil"/>
              <w:bottom w:val="single" w:color="000000" w:sz="4" w:space="0"/>
              <w:right w:val="single" w:color="000000" w:sz="4" w:space="0"/>
            </w:tcBorders>
            <w:shd w:val="clear" w:color="auto" w:fill="F2F2F2"/>
            <w:tcMar>
              <w:top w:w="120" w:type="dxa"/>
              <w:left w:w="180" w:type="dxa"/>
              <w:bottom w:w="120" w:type="dxa"/>
              <w:right w:w="180" w:type="dxa"/>
            </w:tcMar>
            <w:vAlign w:val="center"/>
          </w:tcPr>
          <w:p w14:paraId="24E5E2F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测试项目</w:t>
            </w:r>
          </w:p>
        </w:tc>
        <w:tc>
          <w:tcPr>
            <w:tcW w:w="0" w:type="auto"/>
            <w:tcBorders>
              <w:top w:val="nil"/>
              <w:left w:val="single" w:color="000000" w:sz="4" w:space="0"/>
              <w:bottom w:val="single" w:color="000000" w:sz="4" w:space="0"/>
              <w:right w:val="single" w:color="000000" w:sz="4" w:space="0"/>
            </w:tcBorders>
            <w:shd w:val="clear" w:color="auto" w:fill="F2F2F2"/>
            <w:tcMar>
              <w:top w:w="120" w:type="dxa"/>
              <w:left w:w="180" w:type="dxa"/>
              <w:bottom w:w="120" w:type="dxa"/>
              <w:right w:w="180" w:type="dxa"/>
            </w:tcMar>
            <w:vAlign w:val="center"/>
          </w:tcPr>
          <w:p w14:paraId="1BEC03F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测试条件</w:t>
            </w:r>
          </w:p>
        </w:tc>
        <w:tc>
          <w:tcPr>
            <w:tcW w:w="0" w:type="auto"/>
            <w:tcBorders>
              <w:top w:val="nil"/>
              <w:left w:val="single" w:color="000000" w:sz="4" w:space="0"/>
              <w:bottom w:val="single" w:color="000000" w:sz="4" w:space="0"/>
              <w:right w:val="single" w:color="000000" w:sz="4" w:space="0"/>
            </w:tcBorders>
            <w:shd w:val="clear" w:color="auto" w:fill="F2F2F2"/>
            <w:tcMar>
              <w:top w:w="120" w:type="dxa"/>
              <w:left w:w="180" w:type="dxa"/>
              <w:bottom w:w="120" w:type="dxa"/>
              <w:right w:w="180" w:type="dxa"/>
            </w:tcMar>
            <w:vAlign w:val="center"/>
          </w:tcPr>
          <w:p w14:paraId="470EA99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实际结果</w:t>
            </w:r>
          </w:p>
        </w:tc>
        <w:tc>
          <w:tcPr>
            <w:tcW w:w="1273" w:type="dxa"/>
            <w:tcBorders>
              <w:top w:val="nil"/>
              <w:left w:val="single" w:color="000000" w:sz="4" w:space="0"/>
              <w:bottom w:val="single" w:color="000000" w:sz="4" w:space="0"/>
              <w:right w:val="nil"/>
            </w:tcBorders>
            <w:shd w:val="clear" w:color="auto" w:fill="F2F2F2"/>
            <w:tcMar>
              <w:top w:w="120" w:type="dxa"/>
              <w:left w:w="180" w:type="dxa"/>
              <w:bottom w:w="120" w:type="dxa"/>
              <w:right w:w="180" w:type="dxa"/>
            </w:tcMar>
            <w:vAlign w:val="center"/>
          </w:tcPr>
          <w:p w14:paraId="58E01F0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合格标准</w:t>
            </w:r>
          </w:p>
        </w:tc>
      </w:tr>
      <w:tr w14:paraId="79FA492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624" w:type="dxa"/>
            <w:vMerge w:val="restart"/>
            <w:tcBorders>
              <w:top w:val="single" w:color="000000" w:sz="4" w:space="0"/>
              <w:left w:val="nil"/>
              <w:right w:val="single" w:color="000000" w:sz="4" w:space="0"/>
            </w:tcBorders>
            <w:shd w:val="clear" w:color="auto" w:fill="FFFFFF"/>
            <w:tcMar>
              <w:top w:w="120" w:type="dxa"/>
              <w:left w:w="180" w:type="dxa"/>
              <w:bottom w:w="120" w:type="dxa"/>
              <w:right w:w="180" w:type="dxa"/>
            </w:tcMar>
            <w:vAlign w:val="center"/>
          </w:tcPr>
          <w:p w14:paraId="2D8CF9E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生产效率</w:t>
            </w:r>
          </w:p>
        </w:tc>
        <w:tc>
          <w:tcPr>
            <w:tcW w:w="3487" w:type="dxa"/>
            <w:tcBorders>
              <w:top w:val="single" w:color="000000" w:sz="4" w:space="0"/>
              <w:left w:val="single" w:color="000000" w:sz="4" w:space="0"/>
              <w:bottom w:val="nil"/>
              <w:right w:val="single" w:color="000000" w:sz="4" w:space="0"/>
            </w:tcBorders>
            <w:shd w:val="clear" w:color="auto" w:fill="FFFFFF"/>
            <w:tcMar>
              <w:top w:w="120" w:type="dxa"/>
              <w:left w:w="180" w:type="dxa"/>
              <w:bottom w:w="120" w:type="dxa"/>
              <w:right w:w="180" w:type="dxa"/>
            </w:tcMar>
            <w:vAlign w:val="center"/>
          </w:tcPr>
          <w:p w14:paraId="34D76E9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60 片 / 分钟</w:t>
            </w:r>
          </w:p>
        </w:tc>
        <w:tc>
          <w:tcPr>
            <w:tcW w:w="1995" w:type="dxa"/>
            <w:tcBorders>
              <w:top w:val="single" w:color="000000" w:sz="4" w:space="0"/>
              <w:left w:val="single" w:color="000000" w:sz="4" w:space="0"/>
              <w:bottom w:val="nil"/>
              <w:right w:val="single" w:color="000000" w:sz="4" w:space="0"/>
            </w:tcBorders>
            <w:shd w:val="clear" w:color="auto" w:fill="FFFFFF"/>
            <w:tcMar>
              <w:top w:w="120" w:type="dxa"/>
              <w:left w:w="180" w:type="dxa"/>
              <w:bottom w:w="120" w:type="dxa"/>
              <w:right w:w="180" w:type="dxa"/>
            </w:tcMar>
            <w:vAlign w:val="center"/>
          </w:tcPr>
          <w:p w14:paraId="7D07D81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3600 片 / 小时</w:t>
            </w:r>
          </w:p>
        </w:tc>
        <w:tc>
          <w:tcPr>
            <w:tcW w:w="1273" w:type="dxa"/>
            <w:tcBorders>
              <w:top w:val="single" w:color="000000" w:sz="4" w:space="0"/>
              <w:left w:val="single" w:color="000000" w:sz="4" w:space="0"/>
              <w:bottom w:val="nil"/>
              <w:right w:val="nil"/>
            </w:tcBorders>
            <w:shd w:val="clear" w:color="auto" w:fill="FFFFFF"/>
            <w:tcMar>
              <w:top w:w="120" w:type="dxa"/>
              <w:left w:w="180" w:type="dxa"/>
              <w:bottom w:w="120" w:type="dxa"/>
              <w:right w:w="180" w:type="dxa"/>
            </w:tcMar>
            <w:vAlign w:val="center"/>
          </w:tcPr>
          <w:p w14:paraId="209BF50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达标</w:t>
            </w:r>
          </w:p>
        </w:tc>
      </w:tr>
      <w:tr w14:paraId="45D9FD2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624" w:type="dxa"/>
            <w:vMerge w:val="continue"/>
            <w:tcBorders>
              <w:left w:val="nil"/>
              <w:right w:val="single" w:color="000000" w:sz="4" w:space="0"/>
            </w:tcBorders>
            <w:shd w:val="clear" w:color="auto" w:fill="FFFFFF"/>
            <w:tcMar>
              <w:top w:w="120" w:type="dxa"/>
              <w:left w:w="180" w:type="dxa"/>
              <w:bottom w:w="120" w:type="dxa"/>
              <w:right w:w="180" w:type="dxa"/>
            </w:tcMar>
            <w:vAlign w:val="center"/>
          </w:tcPr>
          <w:p w14:paraId="31A3895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p>
        </w:tc>
        <w:tc>
          <w:tcPr>
            <w:tcW w:w="3487" w:type="dxa"/>
            <w:tcBorders>
              <w:top w:val="nil"/>
              <w:left w:val="single" w:color="000000" w:sz="4" w:space="0"/>
              <w:bottom w:val="nil"/>
              <w:right w:val="single" w:color="000000" w:sz="4" w:space="0"/>
            </w:tcBorders>
            <w:shd w:val="clear" w:color="auto" w:fill="FFFFFF"/>
            <w:tcMar>
              <w:top w:w="120" w:type="dxa"/>
              <w:left w:w="180" w:type="dxa"/>
              <w:bottom w:w="120" w:type="dxa"/>
              <w:right w:w="180" w:type="dxa"/>
            </w:tcMar>
            <w:vAlign w:val="center"/>
          </w:tcPr>
          <w:p w14:paraId="7A0FD0D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120 片 / 分钟</w:t>
            </w:r>
          </w:p>
        </w:tc>
        <w:tc>
          <w:tcPr>
            <w:tcW w:w="1995" w:type="dxa"/>
            <w:tcBorders>
              <w:top w:val="nil"/>
              <w:left w:val="single" w:color="000000" w:sz="4" w:space="0"/>
              <w:bottom w:val="nil"/>
              <w:right w:val="single" w:color="000000" w:sz="4" w:space="0"/>
            </w:tcBorders>
            <w:shd w:val="clear" w:color="auto" w:fill="FFFFFF"/>
            <w:tcMar>
              <w:top w:w="120" w:type="dxa"/>
              <w:left w:w="180" w:type="dxa"/>
              <w:bottom w:w="120" w:type="dxa"/>
              <w:right w:w="180" w:type="dxa"/>
            </w:tcMar>
            <w:vAlign w:val="center"/>
          </w:tcPr>
          <w:p w14:paraId="139A97D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7200 片 / 小时</w:t>
            </w:r>
          </w:p>
        </w:tc>
        <w:tc>
          <w:tcPr>
            <w:tcW w:w="1273" w:type="dxa"/>
            <w:tcBorders>
              <w:top w:val="nil"/>
              <w:left w:val="single" w:color="000000" w:sz="4" w:space="0"/>
              <w:bottom w:val="nil"/>
              <w:right w:val="nil"/>
            </w:tcBorders>
            <w:shd w:val="clear" w:color="auto" w:fill="FFFFFF"/>
            <w:tcMar>
              <w:top w:w="120" w:type="dxa"/>
              <w:left w:w="180" w:type="dxa"/>
              <w:bottom w:w="120" w:type="dxa"/>
              <w:right w:w="180" w:type="dxa"/>
            </w:tcMar>
            <w:vAlign w:val="center"/>
          </w:tcPr>
          <w:p w14:paraId="1B3C945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达标</w:t>
            </w:r>
          </w:p>
        </w:tc>
      </w:tr>
      <w:tr w14:paraId="1DFA636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624" w:type="dxa"/>
            <w:vMerge w:val="continue"/>
            <w:tcBorders>
              <w:left w:val="nil"/>
              <w:bottom w:val="single" w:color="000000" w:sz="4" w:space="0"/>
              <w:right w:val="single" w:color="000000" w:sz="4" w:space="0"/>
            </w:tcBorders>
            <w:shd w:val="clear" w:color="auto" w:fill="FFFFFF"/>
            <w:tcMar>
              <w:top w:w="120" w:type="dxa"/>
              <w:left w:w="180" w:type="dxa"/>
              <w:bottom w:w="120" w:type="dxa"/>
              <w:right w:w="180" w:type="dxa"/>
            </w:tcMar>
            <w:vAlign w:val="center"/>
          </w:tcPr>
          <w:p w14:paraId="61FFFB4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p>
        </w:tc>
        <w:tc>
          <w:tcPr>
            <w:tcW w:w="3487" w:type="dxa"/>
            <w:tcBorders>
              <w:top w:val="nil"/>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0A08758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180 片 / 分钟</w:t>
            </w:r>
          </w:p>
        </w:tc>
        <w:tc>
          <w:tcPr>
            <w:tcW w:w="1995" w:type="dxa"/>
            <w:tcBorders>
              <w:top w:val="nil"/>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3E61422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10800 片 / 小时</w:t>
            </w:r>
          </w:p>
        </w:tc>
        <w:tc>
          <w:tcPr>
            <w:tcW w:w="1273" w:type="dxa"/>
            <w:tcBorders>
              <w:top w:val="nil"/>
              <w:left w:val="single" w:color="000000" w:sz="4" w:space="0"/>
              <w:bottom w:val="single" w:color="000000" w:sz="4" w:space="0"/>
              <w:right w:val="nil"/>
            </w:tcBorders>
            <w:shd w:val="clear" w:color="auto" w:fill="FFFFFF"/>
            <w:tcMar>
              <w:top w:w="120" w:type="dxa"/>
              <w:left w:w="180" w:type="dxa"/>
              <w:bottom w:w="120" w:type="dxa"/>
              <w:right w:w="180" w:type="dxa"/>
            </w:tcMar>
            <w:vAlign w:val="center"/>
          </w:tcPr>
          <w:p w14:paraId="7F890E8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达标</w:t>
            </w:r>
          </w:p>
        </w:tc>
      </w:tr>
      <w:tr w14:paraId="0EAB3C4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624" w:type="dxa"/>
            <w:tcBorders>
              <w:top w:val="single" w:color="000000" w:sz="4" w:space="0"/>
              <w:left w:val="nil"/>
              <w:bottom w:val="single" w:color="000000" w:sz="4" w:space="0"/>
              <w:right w:val="single" w:color="000000" w:sz="4" w:space="0"/>
            </w:tcBorders>
            <w:shd w:val="clear" w:color="auto" w:fill="FFFFFF"/>
            <w:tcMar>
              <w:top w:w="120" w:type="dxa"/>
              <w:left w:w="180" w:type="dxa"/>
              <w:bottom w:w="120" w:type="dxa"/>
              <w:right w:w="180" w:type="dxa"/>
            </w:tcMar>
            <w:vAlign w:val="center"/>
          </w:tcPr>
          <w:p w14:paraId="7FC46C0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同步性</w:t>
            </w:r>
          </w:p>
        </w:tc>
        <w:tc>
          <w:tcPr>
            <w:tcW w:w="3487"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535E313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180 片 / 分钟，监测 10 个伺服轴</w:t>
            </w:r>
          </w:p>
        </w:tc>
        <w:tc>
          <w:tcPr>
            <w:tcW w:w="1995"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4CAB982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平均同步误差 0.6ms</w:t>
            </w:r>
          </w:p>
        </w:tc>
        <w:tc>
          <w:tcPr>
            <w:tcW w:w="1273" w:type="dxa"/>
            <w:tcBorders>
              <w:top w:val="single" w:color="000000" w:sz="4" w:space="0"/>
              <w:left w:val="single" w:color="000000" w:sz="4" w:space="0"/>
              <w:bottom w:val="single" w:color="000000" w:sz="4" w:space="0"/>
              <w:right w:val="nil"/>
            </w:tcBorders>
            <w:shd w:val="clear" w:color="auto" w:fill="FFFFFF"/>
            <w:tcMar>
              <w:top w:w="120" w:type="dxa"/>
              <w:left w:w="180" w:type="dxa"/>
              <w:bottom w:w="120" w:type="dxa"/>
              <w:right w:w="180" w:type="dxa"/>
            </w:tcMar>
            <w:vAlign w:val="center"/>
          </w:tcPr>
          <w:p w14:paraId="64DEFE2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≤1ms</w:t>
            </w:r>
          </w:p>
        </w:tc>
      </w:tr>
      <w:tr w14:paraId="4649F26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624" w:type="dxa"/>
            <w:tcBorders>
              <w:top w:val="single" w:color="000000" w:sz="4" w:space="0"/>
              <w:left w:val="nil"/>
              <w:bottom w:val="single" w:color="000000" w:sz="4" w:space="0"/>
              <w:right w:val="single" w:color="000000" w:sz="4" w:space="0"/>
            </w:tcBorders>
            <w:shd w:val="clear" w:color="auto" w:fill="FFFFFF"/>
            <w:tcMar>
              <w:top w:w="120" w:type="dxa"/>
              <w:left w:w="180" w:type="dxa"/>
              <w:bottom w:w="120" w:type="dxa"/>
              <w:right w:w="180" w:type="dxa"/>
            </w:tcMar>
            <w:vAlign w:val="center"/>
          </w:tcPr>
          <w:p w14:paraId="4D96722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连续运行时间</w:t>
            </w:r>
          </w:p>
        </w:tc>
        <w:tc>
          <w:tcPr>
            <w:tcW w:w="3487"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31E95FE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满负荷生产</w:t>
            </w:r>
          </w:p>
        </w:tc>
        <w:tc>
          <w:tcPr>
            <w:tcW w:w="1995"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6F19069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72 小时无故障</w:t>
            </w:r>
          </w:p>
        </w:tc>
        <w:tc>
          <w:tcPr>
            <w:tcW w:w="1273" w:type="dxa"/>
            <w:tcBorders>
              <w:top w:val="single" w:color="000000" w:sz="4" w:space="0"/>
              <w:left w:val="single" w:color="000000" w:sz="4" w:space="0"/>
              <w:bottom w:val="single" w:color="000000" w:sz="4" w:space="0"/>
              <w:right w:val="nil"/>
            </w:tcBorders>
            <w:shd w:val="clear" w:color="auto" w:fill="FFFFFF"/>
            <w:tcMar>
              <w:top w:w="120" w:type="dxa"/>
              <w:left w:w="180" w:type="dxa"/>
              <w:bottom w:w="120" w:type="dxa"/>
              <w:right w:w="180" w:type="dxa"/>
            </w:tcMar>
            <w:vAlign w:val="center"/>
          </w:tcPr>
          <w:p w14:paraId="0473F82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≥48 小时</w:t>
            </w:r>
          </w:p>
        </w:tc>
      </w:tr>
      <w:tr w14:paraId="69D8F3A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624" w:type="dxa"/>
            <w:tcBorders>
              <w:top w:val="single" w:color="000000" w:sz="4" w:space="0"/>
              <w:left w:val="nil"/>
              <w:bottom w:val="single" w:color="000000" w:sz="4" w:space="0"/>
              <w:right w:val="single" w:color="000000" w:sz="4" w:space="0"/>
            </w:tcBorders>
            <w:shd w:val="clear" w:color="auto" w:fill="FFFFFF"/>
            <w:tcMar>
              <w:top w:w="120" w:type="dxa"/>
              <w:left w:w="180" w:type="dxa"/>
              <w:bottom w:w="120" w:type="dxa"/>
              <w:right w:w="180" w:type="dxa"/>
            </w:tcMar>
            <w:vAlign w:val="center"/>
          </w:tcPr>
          <w:p w14:paraId="3D90C73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日均产量</w:t>
            </w:r>
          </w:p>
        </w:tc>
        <w:tc>
          <w:tcPr>
            <w:tcW w:w="3487"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71FCE3B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120 片 / 分钟，8 小时运行</w:t>
            </w:r>
          </w:p>
        </w:tc>
        <w:tc>
          <w:tcPr>
            <w:tcW w:w="1995"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23CB578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9600 片</w:t>
            </w:r>
          </w:p>
        </w:tc>
        <w:tc>
          <w:tcPr>
            <w:tcW w:w="1273" w:type="dxa"/>
            <w:tcBorders>
              <w:top w:val="single" w:color="000000" w:sz="4" w:space="0"/>
              <w:left w:val="single" w:color="000000" w:sz="4" w:space="0"/>
              <w:bottom w:val="single" w:color="000000" w:sz="4" w:space="0"/>
              <w:right w:val="nil"/>
            </w:tcBorders>
            <w:shd w:val="clear" w:color="auto" w:fill="FFFFFF"/>
            <w:tcMar>
              <w:top w:w="120" w:type="dxa"/>
              <w:left w:w="180" w:type="dxa"/>
              <w:bottom w:w="120" w:type="dxa"/>
              <w:right w:w="180" w:type="dxa"/>
            </w:tcMar>
            <w:vAlign w:val="center"/>
          </w:tcPr>
          <w:p w14:paraId="4DA5460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≥8000 片</w:t>
            </w:r>
          </w:p>
        </w:tc>
      </w:tr>
      <w:tr w14:paraId="18385E0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624" w:type="dxa"/>
            <w:tcBorders>
              <w:top w:val="single" w:color="000000" w:sz="4" w:space="0"/>
              <w:left w:val="nil"/>
              <w:bottom w:val="nil"/>
              <w:right w:val="single" w:color="000000" w:sz="4" w:space="0"/>
            </w:tcBorders>
            <w:shd w:val="clear" w:color="auto" w:fill="FFFFFF"/>
            <w:tcMar>
              <w:top w:w="120" w:type="dxa"/>
              <w:left w:w="180" w:type="dxa"/>
              <w:bottom w:w="120" w:type="dxa"/>
              <w:right w:w="180" w:type="dxa"/>
            </w:tcMar>
            <w:vAlign w:val="center"/>
          </w:tcPr>
          <w:p w14:paraId="1B82347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能耗</w:t>
            </w:r>
          </w:p>
        </w:tc>
        <w:tc>
          <w:tcPr>
            <w:tcW w:w="3487" w:type="dxa"/>
            <w:tcBorders>
              <w:top w:val="single" w:color="000000" w:sz="4" w:space="0"/>
              <w:left w:val="single" w:color="000000" w:sz="4" w:space="0"/>
              <w:bottom w:val="nil"/>
              <w:right w:val="single" w:color="000000" w:sz="4" w:space="0"/>
            </w:tcBorders>
            <w:shd w:val="clear" w:color="auto" w:fill="FFFFFF"/>
            <w:tcMar>
              <w:top w:w="120" w:type="dxa"/>
              <w:left w:w="180" w:type="dxa"/>
              <w:bottom w:w="120" w:type="dxa"/>
              <w:right w:w="180" w:type="dxa"/>
            </w:tcMar>
            <w:vAlign w:val="center"/>
          </w:tcPr>
          <w:p w14:paraId="7591A1F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连续运行 8 小时</w:t>
            </w:r>
          </w:p>
        </w:tc>
        <w:tc>
          <w:tcPr>
            <w:tcW w:w="1995" w:type="dxa"/>
            <w:tcBorders>
              <w:top w:val="single" w:color="000000" w:sz="4" w:space="0"/>
              <w:left w:val="single" w:color="000000" w:sz="4" w:space="0"/>
              <w:bottom w:val="nil"/>
              <w:right w:val="single" w:color="000000" w:sz="4" w:space="0"/>
            </w:tcBorders>
            <w:shd w:val="clear" w:color="auto" w:fill="FFFFFF"/>
            <w:tcMar>
              <w:top w:w="120" w:type="dxa"/>
              <w:left w:w="180" w:type="dxa"/>
              <w:bottom w:w="120" w:type="dxa"/>
              <w:right w:w="180" w:type="dxa"/>
            </w:tcMar>
            <w:vAlign w:val="center"/>
          </w:tcPr>
          <w:p w14:paraId="6366F09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27kWh</w:t>
            </w:r>
          </w:p>
        </w:tc>
        <w:tc>
          <w:tcPr>
            <w:tcW w:w="1273" w:type="dxa"/>
            <w:tcBorders>
              <w:top w:val="single" w:color="000000" w:sz="4" w:space="0"/>
              <w:left w:val="single" w:color="000000" w:sz="4" w:space="0"/>
              <w:bottom w:val="nil"/>
              <w:right w:val="nil"/>
            </w:tcBorders>
            <w:shd w:val="clear" w:color="auto" w:fill="FFFFFF"/>
            <w:tcMar>
              <w:top w:w="120" w:type="dxa"/>
              <w:left w:w="180" w:type="dxa"/>
              <w:bottom w:w="120" w:type="dxa"/>
              <w:right w:w="180" w:type="dxa"/>
            </w:tcMar>
            <w:vAlign w:val="center"/>
          </w:tcPr>
          <w:p w14:paraId="067576B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≤30kWh</w:t>
            </w:r>
          </w:p>
        </w:tc>
      </w:tr>
    </w:tbl>
    <w:p w14:paraId="2D6F416F">
      <w:pPr>
        <w:keepNext w:val="0"/>
        <w:keepLines w:val="0"/>
        <w:pageBreakBefore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leftChars="0"/>
        <w:jc w:val="center"/>
        <w:textAlignment w:val="auto"/>
        <w:outlineLvl w:val="9"/>
        <w:rPr>
          <w:rFonts w:hint="default" w:eastAsia="宋体" w:asciiTheme="minorAscii" w:hAnsiTheme="minorAscii"/>
          <w:sz w:val="24"/>
          <w:lang w:val="en-US" w:eastAsia="zh-CN"/>
        </w:rPr>
      </w:pPr>
      <w:r>
        <w:rPr>
          <w:rFonts w:hint="eastAsia" w:ascii="宋体" w:hAnsi="宋体" w:eastAsia="宋体" w:cs="宋体"/>
          <w:b w:val="0"/>
          <w:bCs w:val="0"/>
          <w:kern w:val="0"/>
          <w:sz w:val="24"/>
          <w:szCs w:val="16"/>
          <w:lang w:val="en-US" w:eastAsia="zh-CN" w:bidi="ar"/>
        </w:rPr>
        <w:t>表4.2</w:t>
      </w:r>
      <w:r>
        <w:rPr>
          <w:rFonts w:hint="eastAsia" w:ascii="宋体" w:hAnsi="宋体" w:cs="宋体"/>
          <w:b w:val="0"/>
          <w:bCs w:val="0"/>
          <w:kern w:val="0"/>
          <w:sz w:val="24"/>
          <w:szCs w:val="16"/>
          <w:lang w:val="en-US" w:eastAsia="zh-CN" w:bidi="ar"/>
        </w:rPr>
        <w:t xml:space="preserve"> </w:t>
      </w:r>
      <w:r>
        <w:rPr>
          <w:rFonts w:hint="default" w:eastAsia="宋体" w:asciiTheme="minorAscii" w:hAnsiTheme="minorAscii"/>
          <w:sz w:val="24"/>
          <w:lang w:val="en-US" w:eastAsia="zh-CN"/>
        </w:rPr>
        <w:t>基本性能测试</w:t>
      </w:r>
    </w:p>
    <w:p w14:paraId="2B0E9CA1">
      <w:pPr>
        <w:keepNext w:val="0"/>
        <w:keepLines w:val="0"/>
        <w:widowControl/>
        <w:suppressLineNumbers w:val="0"/>
        <w:jc w:val="left"/>
        <w:rPr>
          <w:rFonts w:hint="default" w:eastAsia="宋体" w:asciiTheme="minorAscii" w:hAnsiTheme="minorAscii"/>
          <w:sz w:val="24"/>
          <w:lang w:val="en-US" w:eastAsia="zh-CN"/>
        </w:rPr>
      </w:pPr>
      <w:r>
        <w:rPr>
          <w:rFonts w:ascii="宋体" w:hAnsi="宋体" w:eastAsia="宋体" w:cs="宋体"/>
          <w:kern w:val="0"/>
          <w:sz w:val="24"/>
          <w:szCs w:val="24"/>
          <w:lang w:val="en-US" w:eastAsia="zh-CN" w:bidi="ar"/>
        </w:rPr>
        <w:t>由测试结果可知，设备在不同生产速度下，生产效率均达标且无明显波动；同步性测试中，平均同步误差0.6ms，优于预设合格标准；连续运行时间达72小时无故障，日均产量9600片，超出预设目标；能耗实测27kWh，低于预设上限，基本性能表现优异，可满足规模化生产需求。</w:t>
      </w:r>
    </w:p>
    <w:p w14:paraId="05218D9A">
      <w:pPr>
        <w:pStyle w:val="4"/>
        <w:numPr>
          <w:ilvl w:val="0"/>
          <w:numId w:val="22"/>
        </w:numPr>
        <w:bidi w:val="0"/>
        <w:ind w:left="0" w:leftChars="0" w:firstLine="0" w:firstLineChars="0"/>
        <w:rPr>
          <w:rFonts w:hint="default"/>
          <w:lang w:val="en-US" w:eastAsia="zh-CN"/>
        </w:rPr>
      </w:pPr>
      <w:r>
        <w:rPr>
          <w:rFonts w:hint="default"/>
          <w:lang w:val="en-US" w:eastAsia="zh-CN"/>
        </w:rPr>
        <w:t>核心功能测试</w:t>
      </w:r>
    </w:p>
    <w:p w14:paraId="77FD665B">
      <w:pPr>
        <w:keepNext w:val="0"/>
        <w:keepLines w:val="0"/>
        <w:widowControl/>
        <w:suppressLineNumbers w:val="0"/>
        <w:jc w:val="left"/>
        <w:rPr>
          <w:rFonts w:hint="default"/>
          <w:lang w:val="en-US" w:eastAsia="zh-CN"/>
        </w:rPr>
      </w:pPr>
      <w:r>
        <w:rPr>
          <w:rFonts w:ascii="宋体" w:hAnsi="宋体" w:eastAsia="宋体" w:cs="宋体"/>
          <w:kern w:val="0"/>
          <w:sz w:val="24"/>
          <w:szCs w:val="24"/>
          <w:lang w:val="en-US" w:eastAsia="zh-CN" w:bidi="ar"/>
        </w:rPr>
        <w:t>核心功能测试聚焦设备全流程自动化、动态同步性、多模式适配与远程监控四大核心功能，模拟实际生产场景开展测试，验证功能完整性与实用性，具体测试结果如下。</w:t>
      </w:r>
    </w:p>
    <w:p w14:paraId="45B89C83">
      <w:pPr>
        <w:keepNext w:val="0"/>
        <w:keepLines w:val="0"/>
        <w:pageBreakBefore w:val="0"/>
        <w:widowControl w:val="0"/>
        <w:numPr>
          <w:ilvl w:val="0"/>
          <w:numId w:val="23"/>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left="425" w:leftChars="0" w:hanging="425" w:firstLineChars="0"/>
        <w:textAlignment w:val="auto"/>
        <w:rPr>
          <w:rFonts w:hint="default" w:eastAsia="宋体" w:asciiTheme="minorAscii" w:hAnsiTheme="minorAscii"/>
          <w:sz w:val="24"/>
          <w:lang w:val="en-US" w:eastAsia="zh-CN"/>
        </w:rPr>
      </w:pPr>
      <w:r>
        <w:rPr>
          <w:rFonts w:hint="default" w:eastAsia="宋体" w:asciiTheme="minorAscii" w:hAnsiTheme="minorAscii"/>
          <w:sz w:val="24"/>
          <w:lang w:val="en-US" w:eastAsia="zh-CN"/>
        </w:rPr>
        <w:t>全流程自动化</w:t>
      </w:r>
    </w:p>
    <w:p w14:paraId="0C0FC582">
      <w:pPr>
        <w:keepNext w:val="0"/>
        <w:keepLines w:val="0"/>
        <w:widowControl/>
        <w:suppressLineNumbers w:val="0"/>
        <w:jc w:val="left"/>
      </w:pPr>
      <w:r>
        <w:rPr>
          <w:rFonts w:ascii="宋体" w:hAnsi="宋体" w:eastAsia="宋体" w:cs="宋体"/>
          <w:kern w:val="0"/>
          <w:sz w:val="24"/>
          <w:szCs w:val="24"/>
          <w:lang w:val="en-US" w:eastAsia="zh-CN" w:bidi="ar"/>
        </w:rPr>
        <w:t>测试中，设备成功实现从原材料上料、布料张紧纠偏、鼻梁条安装、耳带焊接，到裁切出料、废料回收的全流程无人干预生产，无需人工辅助操作。连续生产1000片口罩，实测生产合格率达99.2%，无耳带漏焊、裁切不齐、鼻梁条装偏等不合格产品，验证了全流程自动化功能的可靠性，可有效降低人工成本。</w:t>
      </w:r>
    </w:p>
    <w:p w14:paraId="6E036AAA">
      <w:pPr>
        <w:keepNext w:val="0"/>
        <w:keepLines w:val="0"/>
        <w:pageBreakBefore w:val="0"/>
        <w:widowControl w:val="0"/>
        <w:numPr>
          <w:ilvl w:val="0"/>
          <w:numId w:val="23"/>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left="425" w:leftChars="0" w:hanging="425" w:firstLineChars="0"/>
        <w:textAlignment w:val="auto"/>
        <w:rPr>
          <w:rFonts w:hint="default" w:eastAsia="宋体" w:asciiTheme="minorAscii" w:hAnsiTheme="minorAscii"/>
          <w:sz w:val="24"/>
          <w:lang w:val="en-US" w:eastAsia="zh-CN"/>
        </w:rPr>
      </w:pPr>
      <w:r>
        <w:rPr>
          <w:rFonts w:hint="default" w:eastAsia="宋体" w:asciiTheme="minorAscii" w:hAnsiTheme="minorAscii"/>
          <w:sz w:val="24"/>
          <w:lang w:val="en-US" w:eastAsia="zh-CN"/>
        </w:rPr>
        <w:t>动态同步性</w:t>
      </w:r>
    </w:p>
    <w:p w14:paraId="0366BAC1">
      <w:pPr>
        <w:keepNext w:val="0"/>
        <w:keepLines w:val="0"/>
        <w:widowControl/>
        <w:suppressLineNumbers w:val="0"/>
        <w:jc w:val="left"/>
      </w:pPr>
      <w:r>
        <w:rPr>
          <w:rFonts w:ascii="宋体" w:hAnsi="宋体" w:eastAsia="宋体" w:cs="宋体"/>
          <w:kern w:val="0"/>
          <w:sz w:val="24"/>
          <w:szCs w:val="24"/>
          <w:lang w:val="en-US" w:eastAsia="zh-CN" w:bidi="ar"/>
        </w:rPr>
        <w:t>在高速生产场景（180片/分钟）下，测试各核心工序动态同步性，拉布、封边、焊接、裁切等工序与主轴运动精准匹配，同步误差均≤1ms。生产过程中，布料平整无褶皱，耳带焊接位置偏差≤2mm，裁切尺寸偏差≤0.5mm，无任何工序脱节或动作异常，动态同步性良好，保障了高速生产下的产品质量。</w:t>
      </w:r>
    </w:p>
    <w:p w14:paraId="0F5F3A28">
      <w:pPr>
        <w:keepNext w:val="0"/>
        <w:keepLines w:val="0"/>
        <w:pageBreakBefore w:val="0"/>
        <w:widowControl w:val="0"/>
        <w:numPr>
          <w:ilvl w:val="0"/>
          <w:numId w:val="23"/>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left="425" w:leftChars="0" w:hanging="425" w:firstLineChars="0"/>
        <w:textAlignment w:val="auto"/>
        <w:rPr>
          <w:rFonts w:hint="default" w:eastAsia="宋体" w:asciiTheme="minorAscii" w:hAnsiTheme="minorAscii"/>
          <w:sz w:val="24"/>
          <w:lang w:val="en-US" w:eastAsia="zh-CN"/>
        </w:rPr>
      </w:pPr>
      <w:r>
        <w:rPr>
          <w:rFonts w:hint="default" w:eastAsia="宋体" w:asciiTheme="minorAscii" w:hAnsiTheme="minorAscii"/>
          <w:sz w:val="24"/>
          <w:lang w:val="en-US" w:eastAsia="zh-CN"/>
        </w:rPr>
        <w:t>多模式适配</w:t>
      </w:r>
    </w:p>
    <w:p w14:paraId="40D76BDB">
      <w:pPr>
        <w:keepNext w:val="0"/>
        <w:keepLines w:val="0"/>
        <w:widowControl/>
        <w:suppressLineNumbers w:val="0"/>
        <w:jc w:val="left"/>
      </w:pPr>
      <w:r>
        <w:rPr>
          <w:rFonts w:ascii="宋体" w:hAnsi="宋体" w:eastAsia="宋体" w:cs="宋体"/>
          <w:kern w:val="0"/>
          <w:sz w:val="24"/>
          <w:szCs w:val="24"/>
          <w:lang w:val="en-US" w:eastAsia="zh-CN" w:bidi="ar"/>
        </w:rPr>
        <w:t>定标模式下，设备通过色标检测传感器实时采集布料色标信号，自动调整口罩长度，可适应不同批次布料的色标偏差（偏差范围±0.3mm），实测口罩长度误差≤0.5mm；定长模式下，操作人员直接通过触摸屏输入口罩长度参数，设备自动计算相关控制参数，精准控制口罩长度，实测长度误差≤0.3mm，可满足不同规格口罩的固定生产需求，多模式适配性强，换型便捷。</w:t>
      </w:r>
    </w:p>
    <w:p w14:paraId="49BFA6DC">
      <w:pPr>
        <w:keepNext w:val="0"/>
        <w:keepLines w:val="0"/>
        <w:pageBreakBefore w:val="0"/>
        <w:widowControl w:val="0"/>
        <w:numPr>
          <w:ilvl w:val="0"/>
          <w:numId w:val="23"/>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left="425" w:leftChars="0" w:hanging="425" w:firstLineChars="0"/>
        <w:textAlignment w:val="auto"/>
        <w:rPr>
          <w:rFonts w:hint="default" w:eastAsia="宋体" w:asciiTheme="minorAscii" w:hAnsiTheme="minorAscii"/>
          <w:sz w:val="24"/>
          <w:lang w:val="en-US" w:eastAsia="zh-CN"/>
        </w:rPr>
      </w:pPr>
      <w:r>
        <w:rPr>
          <w:rFonts w:hint="default" w:eastAsia="宋体" w:asciiTheme="minorAscii" w:hAnsiTheme="minorAscii"/>
          <w:sz w:val="24"/>
          <w:lang w:val="en-US" w:eastAsia="zh-CN"/>
        </w:rPr>
        <w:t>远程监控</w:t>
      </w:r>
    </w:p>
    <w:p w14:paraId="793CF5B1">
      <w:pPr>
        <w:keepNext w:val="0"/>
        <w:keepLines w:val="0"/>
        <w:widowControl/>
        <w:suppressLineNumbers w:val="0"/>
        <w:jc w:val="left"/>
        <w:rPr>
          <w:rFonts w:hint="default" w:eastAsia="宋体" w:asciiTheme="minorAscii" w:hAnsiTheme="minorAscii"/>
          <w:sz w:val="24"/>
          <w:lang w:val="en-US" w:eastAsia="zh-CN"/>
        </w:rPr>
      </w:pPr>
      <w:r>
        <w:rPr>
          <w:rFonts w:ascii="宋体" w:hAnsi="宋体" w:eastAsia="宋体" w:cs="宋体"/>
          <w:kern w:val="0"/>
          <w:sz w:val="24"/>
          <w:szCs w:val="24"/>
          <w:lang w:val="en-US" w:eastAsia="zh-CN" w:bidi="ar"/>
        </w:rPr>
        <w:t>通过手机端APP与PC端管理平台，开展远程监控功能测试，可实时查看设备运行状态（各伺服轴运行、传感器信号、气缸动作）、生产数据（产量、合格率、能耗），远程调整生产速度参数，实测响应延迟≤1秒，参数修改实时生效。模拟缺料、限位异常等场景，故障报警功能正常触发，及时向手机端与PC端推送报警信息，明确故障类型与位置，便于快速排查，远程监控功能实用、高效。</w:t>
      </w:r>
    </w:p>
    <w:p w14:paraId="2943D81C">
      <w:pPr>
        <w:pStyle w:val="4"/>
        <w:numPr>
          <w:ilvl w:val="0"/>
          <w:numId w:val="22"/>
        </w:numPr>
        <w:bidi w:val="0"/>
        <w:ind w:left="0" w:leftChars="0" w:firstLine="0" w:firstLineChars="0"/>
        <w:rPr>
          <w:rFonts w:hint="default"/>
          <w:lang w:val="en-US" w:eastAsia="zh-CN"/>
        </w:rPr>
      </w:pPr>
      <w:r>
        <w:rPr>
          <w:rFonts w:hint="default"/>
          <w:lang w:val="en-US" w:eastAsia="zh-CN"/>
        </w:rPr>
        <w:t>稳定性测试</w:t>
      </w:r>
    </w:p>
    <w:p w14:paraId="0F828C72">
      <w:pPr>
        <w:keepNext w:val="0"/>
        <w:keepLines w:val="0"/>
        <w:widowControl/>
        <w:suppressLineNumbers w:val="0"/>
        <w:jc w:val="left"/>
      </w:pPr>
      <w:bookmarkStart w:id="35" w:name="_Toc22052"/>
      <w:r>
        <w:rPr>
          <w:rFonts w:ascii="宋体" w:hAnsi="宋体" w:eastAsia="宋体" w:cs="宋体"/>
          <w:kern w:val="0"/>
          <w:sz w:val="24"/>
          <w:szCs w:val="24"/>
          <w:lang w:val="en-US" w:eastAsia="zh-CN" w:bidi="ar"/>
        </w:rPr>
        <w:t>稳定性测试采用72小时连续满负荷运行模式，设置生产速度为180片/分钟，持续监测设备硬件、软件运行状态及生产性能，测试结果如下：硬件层面，各核心部件（PLC、伺服电机、传感器）无故障，通讯连接稳定，无通讯中断、数据丢失现象；软件层面，控制程序运行正常，无程序崩溃、卡顿或指令失效现象，功能完整性良好；生产性能层面，生产效率波动≤2%，产品合格率稳定在99%以上，无明显波动；散热性能层面，核心部件（伺服驱动器、PLC）温度控制在60℃以内，散热装置运行正常，无过热现象。</w:t>
      </w:r>
    </w:p>
    <w:p w14:paraId="00F05AC4">
      <w:pPr>
        <w:keepNext w:val="0"/>
        <w:keepLines w:val="0"/>
        <w:widowControl/>
        <w:suppressLineNumbers w:val="0"/>
        <w:jc w:val="left"/>
      </w:pPr>
      <w:r>
        <w:rPr>
          <w:rFonts w:ascii="宋体" w:hAnsi="宋体" w:eastAsia="宋体" w:cs="宋体"/>
          <w:kern w:val="0"/>
          <w:sz w:val="24"/>
          <w:szCs w:val="24"/>
          <w:lang w:val="en-US" w:eastAsia="zh-CN" w:bidi="ar"/>
        </w:rPr>
        <w:t>本次稳定性测试全面验证了设备的长期运行可靠性，设备在高负荷、长时间运行场景下，各项性能均保持稳定，无任何异常情况，可满足工业场景下连续生产需求，为后续设备规模化应用提供了坚实保障。</w:t>
      </w:r>
    </w:p>
    <w:p w14:paraId="4DBBF78A">
      <w:pPr>
        <w:pStyle w:val="2"/>
        <w:bidi w:val="0"/>
        <w:rPr>
          <w:rFonts w:hint="default"/>
          <w:lang w:val="en-US" w:eastAsia="zh-CN"/>
        </w:rPr>
      </w:pPr>
      <w:bookmarkStart w:id="36" w:name="_Toc26370"/>
      <w:r>
        <w:rPr>
          <w:rFonts w:hint="default"/>
          <w:lang w:val="en-US" w:eastAsia="zh-CN"/>
        </w:rPr>
        <w:t>商业模式</w:t>
      </w:r>
      <w:bookmarkEnd w:id="35"/>
      <w:bookmarkEnd w:id="36"/>
    </w:p>
    <w:p w14:paraId="7F8A39FD">
      <w:pPr>
        <w:pStyle w:val="3"/>
        <w:numPr>
          <w:ilvl w:val="0"/>
          <w:numId w:val="24"/>
        </w:numPr>
        <w:bidi w:val="0"/>
        <w:rPr>
          <w:rFonts w:hint="default"/>
          <w:lang w:val="en-US" w:eastAsia="zh-CN"/>
        </w:rPr>
      </w:pPr>
      <w:bookmarkStart w:id="37" w:name="_Toc15426"/>
      <w:bookmarkStart w:id="38" w:name="_Toc4685"/>
      <w:r>
        <w:rPr>
          <w:rFonts w:hint="default"/>
          <w:lang w:val="en-US" w:eastAsia="zh-CN"/>
        </w:rPr>
        <w:t>核心商业模式：“</w:t>
      </w:r>
      <w:r>
        <w:rPr>
          <w:rFonts w:hint="eastAsia"/>
          <w:lang w:val="en-US" w:eastAsia="zh-CN"/>
        </w:rPr>
        <w:t>硬件</w:t>
      </w:r>
      <w:r>
        <w:rPr>
          <w:rFonts w:hint="default"/>
          <w:lang w:val="en-US" w:eastAsia="zh-CN"/>
        </w:rPr>
        <w:t>+</w:t>
      </w:r>
      <w:r>
        <w:rPr>
          <w:rFonts w:hint="eastAsia"/>
          <w:lang w:val="en-US" w:eastAsia="zh-CN"/>
        </w:rPr>
        <w:t>软件</w:t>
      </w:r>
      <w:r>
        <w:rPr>
          <w:rFonts w:hint="default"/>
          <w:lang w:val="en-US" w:eastAsia="zh-CN"/>
        </w:rPr>
        <w:t>+</w:t>
      </w:r>
      <w:r>
        <w:rPr>
          <w:rFonts w:hint="eastAsia"/>
          <w:lang w:val="en-US" w:eastAsia="zh-CN"/>
        </w:rPr>
        <w:t>服务</w:t>
      </w:r>
      <w:r>
        <w:rPr>
          <w:rFonts w:hint="default"/>
          <w:lang w:val="en-US" w:eastAsia="zh-CN"/>
        </w:rPr>
        <w:t>”三位一体</w:t>
      </w:r>
      <w:bookmarkEnd w:id="37"/>
      <w:bookmarkEnd w:id="38"/>
    </w:p>
    <w:p w14:paraId="08F1F802">
      <w:pPr>
        <w:keepNext w:val="0"/>
        <w:keepLines w:val="0"/>
        <w:widowControl/>
        <w:suppressLineNumbers w:val="0"/>
        <w:jc w:val="left"/>
      </w:pPr>
      <w:r>
        <w:rPr>
          <w:rFonts w:ascii="宋体" w:hAnsi="宋体" w:eastAsia="宋体" w:cs="宋体"/>
          <w:kern w:val="0"/>
          <w:sz w:val="24"/>
          <w:szCs w:val="24"/>
          <w:lang w:val="en-US" w:eastAsia="zh-CN" w:bidi="ar"/>
        </w:rPr>
        <w:t>基于前文所述设备硬件、软件及配套服务体系的完善布局，本项目构建“硬件销售 + 软件升级 + 运维服务”三位一体的核心商业模式，既兼顾企业盈利的持续性与稳定性，又精准适配不同规模、不同需求的客户群体，实现商业价值与客户价值的双向共赢，为项目规模化推广与长期发展奠定坚实基础。</w:t>
      </w:r>
    </w:p>
    <w:p w14:paraId="5C8A00A1">
      <w:pPr>
        <w:keepNext w:val="0"/>
        <w:keepLines w:val="0"/>
        <w:widowControl/>
        <w:suppressLineNumbers w:val="0"/>
        <w:jc w:val="left"/>
      </w:pPr>
      <w:r>
        <w:rPr>
          <w:rFonts w:ascii="宋体" w:hAnsi="宋体" w:eastAsia="宋体" w:cs="宋体"/>
          <w:kern w:val="0"/>
          <w:sz w:val="24"/>
          <w:szCs w:val="24"/>
          <w:lang w:val="en-US" w:eastAsia="zh-CN" w:bidi="ar"/>
        </w:rPr>
        <w:t>硬件销售作为核心盈利支柱，采用分层定价策略，精准匹配不同客户的产能需求与资金预算，分为三类标准化与定制化产品。其中，标准化基础款（生产速度120片/分钟）定价50万元/套，核心适配中小微N95口罩生产企业，满足其低成本自动化转型需求；高速款（生产速度180片/分钟）定价100万元/套，聚焦大型防护用品厂商的规模化生产需求，兼顾效率与精度；定制款（含LOGO印刷、呼吸阀裁切等特殊功能模块）定价120-150万元/套，适配政府战略储备物资生产基地等有特殊生产需求的客户，提供个性化解决方案。</w:t>
      </w:r>
    </w:p>
    <w:p w14:paraId="07070B5A">
      <w:pPr>
        <w:keepNext w:val="0"/>
        <w:keepLines w:val="0"/>
        <w:widowControl/>
        <w:suppressLineNumbers w:val="0"/>
        <w:jc w:val="left"/>
      </w:pPr>
      <w:r>
        <w:rPr>
          <w:rFonts w:ascii="宋体" w:hAnsi="宋体" w:eastAsia="宋体" w:cs="宋体"/>
          <w:kern w:val="0"/>
          <w:sz w:val="24"/>
          <w:szCs w:val="24"/>
          <w:lang w:val="en-US" w:eastAsia="zh-CN" w:bidi="ar"/>
        </w:rPr>
        <w:t>销售渠道采用线上电商与线下经销商联动模式，拓宽市场覆盖范围：线上布局主流工业电商平台，展示产品性能、参数及应用案例，方便客户查询对比、在线咨询；线下与区域优质医疗设备经销商、工业自动化服务商深度合作，借助其本地渠道资源，精准触达目标客户，提升产品渗透率。同时，制定差异化激励政策，经销商享受15%-20%的销售返利，鼓励经销商加大推广力度；客户批量采购（≥5套）可享受9折优惠，吸引大型企业与政府部门批量采购，提升订单规模。</w:t>
      </w:r>
    </w:p>
    <w:p w14:paraId="6320959B">
      <w:pPr>
        <w:keepNext w:val="0"/>
        <w:keepLines w:val="0"/>
        <w:widowControl/>
        <w:suppressLineNumbers w:val="0"/>
        <w:jc w:val="left"/>
      </w:pPr>
      <w:r>
        <w:rPr>
          <w:rFonts w:ascii="宋体" w:hAnsi="宋体" w:eastAsia="宋体" w:cs="宋体"/>
          <w:kern w:val="0"/>
          <w:sz w:val="24"/>
          <w:szCs w:val="24"/>
          <w:lang w:val="en-US" w:eastAsia="zh-CN" w:bidi="ar"/>
        </w:rPr>
        <w:t>软件升级服务作为盈利补充，兼顾客户需求与项目可持续盈利，采用分层收费模式，适配不同客户的精细化生产需求。基础版软件升级服务（含生产参数优化、故障诊断升级）随硬件免费赠送，保障客户设备基础运行需求；高级版软件升级服务按年收费，年费5万元/套，核心提供凸轮曲线定制、生产数据深度分析、MES系统对接等增值功能，为客户提供精细化生产支撑，助力客户优化生产流程、提升生产效率；终身升级服务采用一次性收费模式，收费20万元/套，客户可享受永久软件更新、功能扩展及技术优化，适配长期生产升级需求，降低客户长期投入成本。</w:t>
      </w:r>
    </w:p>
    <w:p w14:paraId="2E8C114A">
      <w:pPr>
        <w:keepNext w:val="0"/>
        <w:keepLines w:val="0"/>
        <w:widowControl/>
        <w:suppressLineNumbers w:val="0"/>
        <w:jc w:val="left"/>
      </w:pPr>
      <w:r>
        <w:rPr>
          <w:rFonts w:ascii="宋体" w:hAnsi="宋体" w:eastAsia="宋体" w:cs="宋体"/>
          <w:kern w:val="0"/>
          <w:sz w:val="24"/>
          <w:szCs w:val="24"/>
          <w:lang w:val="en-US" w:eastAsia="zh-CN" w:bidi="ar"/>
        </w:rPr>
        <w:t>运维服务作为提升客户粘性、实现长期盈利的重要支撑，采用分层保障模式，覆盖客户设备全生命周期运维需求。基础运维服务包含设备1年质保、7×24小时在线技术支持、每年2次定期巡检，免费解决质保期内非人为损坏导致的故障，保障设备正常运行；增值运维服务按次、按年收费，上门维修服务800元/次，设备精准校准服务5000元/年，满足客户质保期外的运维需求；终身运维服务一次性收费10万元/套，为客户提供终身质保、免费上门维修、定期设备升级等全方位运维保障，彻底解决客户“修不起、难维护”的痛点，提升客户满意度与忠诚度。</w:t>
      </w:r>
    </w:p>
    <w:p w14:paraId="0CE49F94">
      <w:pPr>
        <w:pStyle w:val="3"/>
        <w:numPr>
          <w:ilvl w:val="0"/>
          <w:numId w:val="24"/>
        </w:numPr>
        <w:bidi w:val="0"/>
        <w:rPr>
          <w:rFonts w:hint="default"/>
          <w:lang w:val="en-US" w:eastAsia="zh-CN"/>
        </w:rPr>
      </w:pPr>
      <w:bookmarkStart w:id="39" w:name="_Toc19847"/>
      <w:bookmarkStart w:id="40" w:name="_Toc29868"/>
      <w:r>
        <w:rPr>
          <w:rFonts w:hint="default"/>
          <w:lang w:val="en-US" w:eastAsia="zh-CN"/>
        </w:rPr>
        <w:t>市场价值</w:t>
      </w:r>
      <w:r>
        <w:rPr>
          <w:rFonts w:hint="eastAsia"/>
          <w:lang w:val="en-US" w:eastAsia="zh-CN"/>
        </w:rPr>
        <w:t>与</w:t>
      </w:r>
      <w:r>
        <w:rPr>
          <w:rFonts w:hint="default"/>
          <w:lang w:val="en-US" w:eastAsia="zh-CN"/>
        </w:rPr>
        <w:t>未来展望</w:t>
      </w:r>
      <w:bookmarkEnd w:id="39"/>
      <w:bookmarkEnd w:id="40"/>
    </w:p>
    <w:p w14:paraId="34DC3065">
      <w:pPr>
        <w:keepNext w:val="0"/>
        <w:keepLines w:val="0"/>
        <w:widowControl/>
        <w:suppressLineNumbers w:val="0"/>
        <w:jc w:val="left"/>
        <w:rPr>
          <w:rFonts w:hint="default"/>
          <w:lang w:val="en-US" w:eastAsia="zh-CN"/>
        </w:rPr>
      </w:pPr>
      <w:r>
        <w:rPr>
          <w:rFonts w:ascii="宋体" w:hAnsi="宋体" w:eastAsia="宋体" w:cs="宋体"/>
          <w:kern w:val="0"/>
          <w:sz w:val="24"/>
          <w:szCs w:val="24"/>
          <w:lang w:val="en-US" w:eastAsia="zh-CN" w:bidi="ar"/>
        </w:rPr>
        <w:t>本项目研发的N95口罩自动化生产系统，凭借“硬件+软件+服务”的三位一体商业模式、高性价比优势及核心技术壁垒，不仅能够为客户创造显著的经济效益，还能推动行业升级、保障公共卫生安全，具备重要的市场价值与广阔的发展前景，同时将持续推进技术迭代与场景拓展，实现长期可持续发展。</w:t>
      </w:r>
    </w:p>
    <w:p w14:paraId="55FE4D43">
      <w:pPr>
        <w:pStyle w:val="4"/>
        <w:bidi w:val="0"/>
        <w:ind w:left="0" w:leftChars="0" w:firstLine="0" w:firstLineChars="0"/>
        <w:rPr>
          <w:rFonts w:hint="eastAsia"/>
          <w:lang w:val="en-US" w:eastAsia="zh-CN"/>
        </w:rPr>
      </w:pPr>
      <w:r>
        <w:rPr>
          <w:rFonts w:hint="eastAsia"/>
          <w:lang w:val="en-US" w:eastAsia="zh-CN"/>
        </w:rPr>
        <w:t>市场价值</w:t>
      </w:r>
    </w:p>
    <w:p w14:paraId="56AEF653">
      <w:pPr>
        <w:keepNext w:val="0"/>
        <w:keepLines w:val="0"/>
        <w:widowControl/>
        <w:suppressLineNumbers w:val="0"/>
        <w:jc w:val="left"/>
      </w:pPr>
      <w:r>
        <w:rPr>
          <w:rFonts w:ascii="宋体" w:hAnsi="宋体" w:eastAsia="宋体" w:cs="宋体"/>
          <w:kern w:val="0"/>
          <w:sz w:val="24"/>
          <w:szCs w:val="24"/>
          <w:lang w:val="en-US" w:eastAsia="zh-CN" w:bidi="ar"/>
        </w:rPr>
        <w:t>本系统从企业运营、行业发展、公共卫生保障三大核心维度，释放多元化核心价值，精准破解行业痛点，契合国家产业战略，实现经济效益、行业效益与社会效益的统一。在企业运营层面，首要解决当前N95口罩生产行业效率低、人力成本高、产品合格率参差不齐的核心痛点，经实际应用验证，单套系统每年可帮助企业节省人力成本48-96万元，生产效率提升3倍以上，大幅缩短生产周期，同时将产品合格率提升至99%以上，显著提升企业盈利水平与市场竞争力。</w:t>
      </w:r>
    </w:p>
    <w:p w14:paraId="315F7203">
      <w:pPr>
        <w:keepNext w:val="0"/>
        <w:keepLines w:val="0"/>
        <w:widowControl/>
        <w:suppressLineNumbers w:val="0"/>
        <w:jc w:val="left"/>
      </w:pPr>
      <w:r>
        <w:rPr>
          <w:rFonts w:ascii="宋体" w:hAnsi="宋体" w:eastAsia="宋体" w:cs="宋体"/>
          <w:kern w:val="0"/>
          <w:sz w:val="24"/>
          <w:szCs w:val="24"/>
          <w:lang w:val="en-US" w:eastAsia="zh-CN" w:bidi="ar"/>
        </w:rPr>
        <w:t>在行业发展层面，系统的高性价比优势大幅降低了中小微企业自动化转型的资金门槛与技术门槛，推动医疗防护产业从传统半自动化生产向全流程自动化、智能化生产转型，助力提升整个行业的智能化水平与生产标准化程度。同时，系统核心硬件均采用国产化供应链布局，选用信捷PLC、国产总线伺服驱动器等成熟国产化部件，推动工业自动化核心部件的国产化替代，减少对进口部件的依赖，助力产业链自主可控，契合国家产业发展战略，为工业自动化国产化发展注入动力。</w:t>
      </w:r>
    </w:p>
    <w:p w14:paraId="288A2DF9">
      <w:pPr>
        <w:keepNext w:val="0"/>
        <w:keepLines w:val="0"/>
        <w:widowControl/>
        <w:suppressLineNumbers w:val="0"/>
        <w:jc w:val="left"/>
      </w:pPr>
      <w:r>
        <w:rPr>
          <w:rFonts w:ascii="宋体" w:hAnsi="宋体" w:eastAsia="宋体" w:cs="宋体"/>
          <w:kern w:val="0"/>
          <w:sz w:val="24"/>
          <w:szCs w:val="24"/>
          <w:lang w:val="en-US" w:eastAsia="zh-CN" w:bidi="ar"/>
        </w:rPr>
        <w:t>在公共卫生保障层面，系统具备高速生产与精准控制能力，生产速度最高可达180片/分钟，能够在突发公共卫生事件、应急物资短缺时，快速提升N95口罩产能，为应急物资保障提供强有力的技术支撑，助力筑牢公共卫生安全防线，具备重要的社会价值。</w:t>
      </w:r>
    </w:p>
    <w:p w14:paraId="05D8BF14">
      <w:pPr>
        <w:pStyle w:val="4"/>
        <w:bidi w:val="0"/>
        <w:ind w:left="0" w:leftChars="0" w:firstLine="0" w:firstLineChars="0"/>
        <w:rPr>
          <w:rFonts w:hint="default"/>
          <w:lang w:val="en-US" w:eastAsia="zh-CN"/>
        </w:rPr>
      </w:pPr>
      <w:r>
        <w:rPr>
          <w:rFonts w:hint="default"/>
          <w:lang w:val="en-US" w:eastAsia="zh-CN"/>
        </w:rPr>
        <w:t>未来展望</w:t>
      </w:r>
    </w:p>
    <w:p w14:paraId="12E0B039">
      <w:pPr>
        <w:keepNext w:val="0"/>
        <w:keepLines w:val="0"/>
        <w:widowControl/>
        <w:suppressLineNumbers w:val="0"/>
        <w:jc w:val="left"/>
      </w:pPr>
      <w:r>
        <w:rPr>
          <w:rFonts w:ascii="宋体" w:hAnsi="宋体" w:eastAsia="宋体" w:cs="宋体"/>
          <w:kern w:val="0"/>
          <w:sz w:val="24"/>
          <w:szCs w:val="24"/>
          <w:lang w:val="en-US" w:eastAsia="zh-CN" w:bidi="ar"/>
        </w:rPr>
        <w:t>未来，本项目将立足现有核心技术与商业模式，聚焦功能升级、技术迭代、场景拓展与生态构建四大方向，持续优化产品性能、拓宽市场覆盖、提升核心竞争力，打造全球领先的口罩生产自动化解决方案提供商，实现长期可持续发展。</w:t>
      </w:r>
    </w:p>
    <w:p w14:paraId="0C99F8C1">
      <w:pPr>
        <w:keepNext w:val="0"/>
        <w:keepLines w:val="0"/>
        <w:widowControl/>
        <w:suppressLineNumbers w:val="0"/>
        <w:jc w:val="left"/>
      </w:pPr>
      <w:r>
        <w:rPr>
          <w:rFonts w:ascii="宋体" w:hAnsi="宋体" w:eastAsia="宋体" w:cs="宋体"/>
          <w:kern w:val="0"/>
          <w:sz w:val="24"/>
          <w:szCs w:val="24"/>
          <w:lang w:val="en-US" w:eastAsia="zh-CN" w:bidi="ar"/>
        </w:rPr>
        <w:t>功能升级方面，将重点完善产品质量管控与生产优化功能，新增智能视觉检测模块，通过机器视觉技术实时检测口罩外观缺陷，包括耳带虚焊、布料破损、鼻梁条装偏等，自动筛选不合格产品，进一步提升产品合格率，降低人工质检成本；同时开发AI产能优化功能，基于设备长期运行积累的生产数据，通过AI算法自动调整工艺参数、优化生产流程，实现产能与能耗的最优平衡，助力客户降低生产成本、提升盈利水平。</w:t>
      </w:r>
    </w:p>
    <w:p w14:paraId="4E092972">
      <w:pPr>
        <w:keepNext w:val="0"/>
        <w:keepLines w:val="0"/>
        <w:widowControl/>
        <w:suppressLineNumbers w:val="0"/>
        <w:jc w:val="left"/>
      </w:pPr>
      <w:r>
        <w:rPr>
          <w:rFonts w:ascii="宋体" w:hAnsi="宋体" w:eastAsia="宋体" w:cs="宋体"/>
          <w:kern w:val="0"/>
          <w:sz w:val="24"/>
          <w:szCs w:val="24"/>
          <w:lang w:val="en-US" w:eastAsia="zh-CN" w:bidi="ar"/>
        </w:rPr>
        <w:t>技术迭代方面，将持续深耕核心控制技术，优化PLC多轴协同控制算法，提升多轴协同的响应速度与精准度，计划将设备生产速度上限提升至200片/分钟，进一步提升生产效率，适配大型企业规模化生产需求；同时开发无线通讯模块，支持5G远程控制与数据传输，适配智能制造工厂的无人化、智能化生产需求，实现设备的远程精准管控与全流程无人干预生产。</w:t>
      </w:r>
    </w:p>
    <w:p w14:paraId="421F85D0">
      <w:pPr>
        <w:keepNext w:val="0"/>
        <w:keepLines w:val="0"/>
        <w:widowControl/>
        <w:suppressLineNumbers w:val="0"/>
        <w:jc w:val="left"/>
      </w:pPr>
      <w:r>
        <w:rPr>
          <w:rFonts w:ascii="宋体" w:hAnsi="宋体" w:eastAsia="宋体" w:cs="宋体"/>
          <w:kern w:val="0"/>
          <w:sz w:val="24"/>
          <w:szCs w:val="24"/>
          <w:lang w:val="en-US" w:eastAsia="zh-CN" w:bidi="ar"/>
        </w:rPr>
        <w:t>场景拓展方面，将打破单一N95口罩生产的局限，实现多品类、多场景适配，从N95口罩生产延伸至KN95、KF94等同类防护口罩的生产，通过更换功能模块、调整生产参数，实现多品类口罩的快速切换生产，无需额外改造设备；同时开发小型化设备版本，优化设备体积与功能配置，适配实验室、小型企业、医疗机构等的小批量生产需求，进一步拓宽市场覆盖范围，覆盖更多差异化客户群体。</w:t>
      </w:r>
    </w:p>
    <w:p w14:paraId="72869AFB">
      <w:pPr>
        <w:keepNext w:val="0"/>
        <w:keepLines w:val="0"/>
        <w:widowControl/>
        <w:suppressLineNumbers w:val="0"/>
        <w:jc w:val="left"/>
      </w:pPr>
      <w:r>
        <w:rPr>
          <w:rFonts w:ascii="宋体" w:hAnsi="宋体" w:eastAsia="宋体" w:cs="宋体"/>
          <w:kern w:val="0"/>
          <w:sz w:val="24"/>
          <w:szCs w:val="24"/>
          <w:lang w:val="en-US" w:eastAsia="zh-CN" w:bidi="ar"/>
        </w:rPr>
        <w:t>生态构建方面，将着力搭建口罩生产设备产业生态平台，整合原材料供应商、设备零部件厂商、运维服务商、经销商等上下游资源，为客户提供“设备+原材料+运维+培训”一体化解决方案，降低客户运营成本，提升客户体验；同时与高校、科研机构共建研发平台，依托科研机构的技术优势与人才资源，持续推动核心技术创新，攻克行业技术难题，优化产品性能，打造具有核心竞争力的产品体系，力争成为全球领先的口罩生产自动化解决方案提供商，推动医疗防护产业智能化、国产化发展。</w:t>
      </w:r>
    </w:p>
    <w:p w14:paraId="586BB405">
      <w:pPr>
        <w:pStyle w:val="2"/>
        <w:bidi w:val="0"/>
        <w:rPr>
          <w:rFonts w:hint="default"/>
          <w:lang w:val="en-US" w:eastAsia="zh-CN"/>
        </w:rPr>
      </w:pPr>
      <w:bookmarkStart w:id="41" w:name="_Toc5150"/>
      <w:bookmarkStart w:id="42" w:name="_Toc26792"/>
      <w:r>
        <w:rPr>
          <w:rFonts w:hint="default"/>
          <w:lang w:val="en-US" w:eastAsia="zh-CN"/>
        </w:rPr>
        <w:t>公司发展战略</w:t>
      </w:r>
      <w:bookmarkEnd w:id="41"/>
      <w:bookmarkEnd w:id="42"/>
    </w:p>
    <w:p w14:paraId="711EE893">
      <w:pPr>
        <w:keepNext w:val="0"/>
        <w:keepLines w:val="0"/>
        <w:widowControl/>
        <w:suppressLineNumbers w:val="0"/>
        <w:jc w:val="left"/>
        <w:rPr>
          <w:rFonts w:hint="default"/>
          <w:lang w:val="en-US" w:eastAsia="zh-CN"/>
        </w:rPr>
      </w:pPr>
      <w:r>
        <w:rPr>
          <w:rFonts w:ascii="宋体" w:hAnsi="宋体" w:eastAsia="宋体" w:cs="宋体"/>
          <w:kern w:val="0"/>
          <w:sz w:val="24"/>
          <w:szCs w:val="24"/>
          <w:lang w:val="en-US" w:eastAsia="zh-CN" w:bidi="ar"/>
        </w:rPr>
        <w:t>基于前文所述“硬件+软件+服务”三位一体的商业模式、多元化市场价值及产品技术发展展望，为实现企业长期可持续发展、抢占N95口罩全自动生产设备细分领域核心地位，特制定本公司中长期发展战略，明确战略核心目标、阶段性实施规划与全方位支撑体系，统筹推进企业规模化、智能化、品牌化发展，助力企业实现从单一产品供给向全链条价值服务的跨越。</w:t>
      </w:r>
    </w:p>
    <w:p w14:paraId="3EDDE086">
      <w:pPr>
        <w:pStyle w:val="3"/>
        <w:numPr>
          <w:ilvl w:val="0"/>
          <w:numId w:val="25"/>
        </w:numPr>
        <w:bidi w:val="0"/>
        <w:ind w:left="0" w:leftChars="0" w:firstLine="0" w:firstLineChars="0"/>
        <w:rPr>
          <w:rFonts w:hint="default"/>
          <w:lang w:val="en-US" w:eastAsia="zh-CN"/>
        </w:rPr>
      </w:pPr>
      <w:bookmarkStart w:id="43" w:name="_Toc7436"/>
      <w:bookmarkStart w:id="44" w:name="_Toc18472"/>
      <w:r>
        <w:rPr>
          <w:rFonts w:hint="default"/>
          <w:lang w:val="en-US" w:eastAsia="zh-CN"/>
        </w:rPr>
        <w:t>战略核心目标</w:t>
      </w:r>
      <w:bookmarkEnd w:id="43"/>
      <w:bookmarkEnd w:id="44"/>
    </w:p>
    <w:p w14:paraId="3E5F32D5">
      <w:pPr>
        <w:keepNext w:val="0"/>
        <w:keepLines w:val="0"/>
        <w:widowControl/>
        <w:suppressLineNumbers w:val="0"/>
        <w:jc w:val="left"/>
      </w:pPr>
      <w:bookmarkStart w:id="45" w:name="_Toc27127"/>
      <w:r>
        <w:rPr>
          <w:rFonts w:ascii="宋体" w:hAnsi="宋体" w:eastAsia="宋体" w:cs="宋体"/>
          <w:kern w:val="0"/>
          <w:sz w:val="24"/>
          <w:szCs w:val="24"/>
          <w:lang w:val="en-US" w:eastAsia="zh-CN" w:bidi="ar"/>
        </w:rPr>
        <w:t>公司核心战略目标明确，计划5年内成为国内N95口罩全自动生产设备细分领域的龙头企业，确保市场占有率稳居行业前三。立足现有“硬件+软件+服务”三位一体的成熟商业模式，进一步升级构建“设备-软件-服务-生态”一体化商业体系，打破单一产品供给的局限，实现向全链条价值服务的战略跨越，打造差异化核心竞争力。</w:t>
      </w:r>
    </w:p>
    <w:p w14:paraId="1AE57C94">
      <w:pPr>
        <w:keepNext w:val="0"/>
        <w:keepLines w:val="0"/>
        <w:widowControl/>
        <w:suppressLineNumbers w:val="0"/>
        <w:jc w:val="left"/>
      </w:pPr>
      <w:r>
        <w:rPr>
          <w:rFonts w:ascii="宋体" w:hAnsi="宋体" w:eastAsia="宋体" w:cs="宋体"/>
          <w:kern w:val="0"/>
          <w:sz w:val="24"/>
          <w:szCs w:val="24"/>
          <w:lang w:val="en-US" w:eastAsia="zh-CN" w:bidi="ar"/>
        </w:rPr>
        <w:t>核心目标聚焦市场、技术、服务三大核心维度，形成协同发力、层层支撑的目标体系，确保战略落地见效：市场层面，5年内累计销售设备1000套以上，深耕不同规模、不同场景客户需求，打造100个可复制、可推广的行业标杆案例，提升品牌影响力与市场认可度；技术层面，重点布局核心技术专利，累计申请核心专利30项以上，涵盖PLC控制算法、智能检测、协同驱动等关键领域，形成完整的技术壁垒，保持行业技术领先性；服务层面，持续优化服务体系，确保客户满意度稳定在95%以上，建立覆盖全国各核心区域的服务网络，全面提升服务响应速度与服务质量，成为客户信赖的医疗防护装备自动化解决方案提供商。</w:t>
      </w:r>
    </w:p>
    <w:p w14:paraId="00CC2E17">
      <w:pPr>
        <w:pStyle w:val="3"/>
        <w:numPr>
          <w:ilvl w:val="0"/>
          <w:numId w:val="25"/>
        </w:numPr>
        <w:bidi w:val="0"/>
        <w:ind w:left="0" w:leftChars="0" w:firstLine="0" w:firstLineChars="0"/>
        <w:rPr>
          <w:rFonts w:hint="default"/>
          <w:lang w:val="en-US" w:eastAsia="zh-CN"/>
        </w:rPr>
      </w:pPr>
      <w:bookmarkStart w:id="46" w:name="_Toc28571"/>
      <w:r>
        <w:rPr>
          <w:rFonts w:hint="default"/>
          <w:lang w:val="en-US" w:eastAsia="zh-CN"/>
        </w:rPr>
        <w:t>阶段性发展战略</w:t>
      </w:r>
      <w:bookmarkEnd w:id="45"/>
      <w:bookmarkEnd w:id="46"/>
    </w:p>
    <w:p w14:paraId="00DFC40C">
      <w:pPr>
        <w:keepNext w:val="0"/>
        <w:keepLines w:val="0"/>
        <w:widowControl/>
        <w:suppressLineNumbers w:val="0"/>
        <w:jc w:val="left"/>
        <w:rPr>
          <w:rFonts w:hint="default"/>
          <w:lang w:val="en-US" w:eastAsia="zh-CN"/>
        </w:rPr>
      </w:pPr>
      <w:r>
        <w:rPr>
          <w:rFonts w:ascii="宋体" w:hAnsi="宋体" w:eastAsia="宋体" w:cs="宋体"/>
          <w:kern w:val="0"/>
          <w:sz w:val="24"/>
          <w:szCs w:val="24"/>
          <w:lang w:val="en-US" w:eastAsia="zh-CN" w:bidi="ar"/>
        </w:rPr>
        <w:t>为稳步推进5年核心战略目标落地，结合行业发展规律与企业自身发展节奏，将战略实施划分为初创期、成长期、成熟期三个阶段性阶段，每个阶段明确核心任务、量化目标与实施路径，确保循序渐进、稳步推进，实现各阶段无缝衔接、协同发力。</w:t>
      </w:r>
    </w:p>
    <w:p w14:paraId="1A432C0B">
      <w:pPr>
        <w:pStyle w:val="4"/>
        <w:numPr>
          <w:ilvl w:val="0"/>
          <w:numId w:val="26"/>
        </w:numPr>
        <w:bidi w:val="0"/>
        <w:ind w:left="0" w:leftChars="0" w:firstLine="0" w:firstLineChars="0"/>
        <w:rPr>
          <w:rFonts w:hint="eastAsia"/>
          <w:lang w:val="en-US" w:eastAsia="zh-CN"/>
        </w:rPr>
      </w:pPr>
      <w:r>
        <w:rPr>
          <w:rFonts w:hint="eastAsia"/>
          <w:lang w:val="en-US" w:eastAsia="zh-CN"/>
        </w:rPr>
        <w:t>初创期（第1-2 年）</w:t>
      </w:r>
    </w:p>
    <w:p w14:paraId="1F25C990">
      <w:pPr>
        <w:keepNext w:val="0"/>
        <w:keepLines w:val="0"/>
        <w:widowControl/>
        <w:suppressLineNumbers w:val="0"/>
        <w:jc w:val="left"/>
      </w:pPr>
      <w:r>
        <w:rPr>
          <w:rFonts w:ascii="宋体" w:hAnsi="宋体" w:eastAsia="宋体" w:cs="宋体"/>
          <w:kern w:val="0"/>
          <w:sz w:val="24"/>
          <w:szCs w:val="24"/>
          <w:lang w:val="en-US" w:eastAsia="zh-CN" w:bidi="ar"/>
        </w:rPr>
        <w:t>初创期以“夯实基础、抢占先机、验证模式”为核心任务，重点聚焦长三角、珠三角两大核心区域——该区域医疗防护产业集聚、客户需求集中、产业链完善，便于快速打开市场。本阶段核心目标为：与50家以上优质经销商建立深度合作关系，依托经销商本地渠道资源，快速渗透目标市场，实现累计销量150套，营收突破8亿元；持续优化产品性能，密切跟踪客户使用反馈，针对性迭代升级软件功能，解决实际生产中的痛点问题，提升产品适配性；加大专利布局力度，申请发明专利5项、实用新型专利10项，初步构建技术保护体系。</w:t>
      </w:r>
    </w:p>
    <w:p w14:paraId="2A8F7CE6">
      <w:pPr>
        <w:keepNext w:val="0"/>
        <w:keepLines w:val="0"/>
        <w:widowControl/>
        <w:suppressLineNumbers w:val="0"/>
        <w:jc w:val="left"/>
      </w:pPr>
      <w:r>
        <w:rPr>
          <w:rFonts w:ascii="宋体" w:hAnsi="宋体" w:eastAsia="宋体" w:cs="宋体"/>
          <w:kern w:val="0"/>
          <w:sz w:val="24"/>
          <w:szCs w:val="24"/>
          <w:lang w:val="en-US" w:eastAsia="zh-CN" w:bidi="ar"/>
        </w:rPr>
        <w:t>同时，搭建标准化生产体系与售后服务体系，规范生产流程、提升生产效率，保障产品质量稳定性；建立5家核心供应商合作关系，签订长期供货协议，确保核心元器件供应稳定，降低供应链风险；积极申请高新技术企业认证，享受税收减免等政策红利，降低企业运营成本，为后续规模化发展奠定坚实基础。</w:t>
      </w:r>
    </w:p>
    <w:p w14:paraId="13DA600B">
      <w:pPr>
        <w:pStyle w:val="4"/>
        <w:numPr>
          <w:ilvl w:val="0"/>
          <w:numId w:val="26"/>
        </w:numPr>
        <w:bidi w:val="0"/>
        <w:ind w:left="0" w:leftChars="0" w:firstLine="0" w:firstLineChars="0"/>
        <w:rPr>
          <w:rFonts w:hint="default"/>
          <w:lang w:val="en-US" w:eastAsia="zh-CN"/>
        </w:rPr>
      </w:pPr>
      <w:r>
        <w:rPr>
          <w:rFonts w:hint="default"/>
          <w:lang w:val="en-US" w:eastAsia="zh-CN"/>
        </w:rPr>
        <w:t>成长期（第3-4年）</w:t>
      </w:r>
    </w:p>
    <w:p w14:paraId="0DE68D7D">
      <w:pPr>
        <w:keepNext w:val="0"/>
        <w:keepLines w:val="0"/>
        <w:widowControl/>
        <w:suppressLineNumbers w:val="0"/>
        <w:jc w:val="left"/>
      </w:pPr>
      <w:r>
        <w:rPr>
          <w:rFonts w:ascii="宋体" w:hAnsi="宋体" w:eastAsia="宋体" w:cs="宋体"/>
          <w:kern w:val="0"/>
          <w:sz w:val="24"/>
          <w:szCs w:val="24"/>
          <w:lang w:val="en-US" w:eastAsia="zh-CN" w:bidi="ar"/>
        </w:rPr>
        <w:t>成长期以“扩大规模、拓展市场、提升盈利”为核心任务，在巩固长三角、珠三角核心市场的基础上，重点拓展成渝、中部城市群等潜力市场，进一步扩大市场覆盖范围。本阶段核心目标为：累计销量突破500套，营收突破30亿元；拓展150家以上优质经销商，搭建覆盖全国核心区域的销售网络，提升品牌市场渗透率；重点推进软件增值服务，优化高级版软件与终身升级服务内容，提升客户付费意愿，实现软件升级收入占比提升至15%以上。</w:t>
      </w:r>
    </w:p>
    <w:p w14:paraId="225C7B89">
      <w:pPr>
        <w:keepNext w:val="0"/>
        <w:keepLines w:val="0"/>
        <w:widowControl/>
        <w:suppressLineNumbers w:val="0"/>
        <w:jc w:val="left"/>
      </w:pPr>
      <w:r>
        <w:rPr>
          <w:rFonts w:ascii="宋体" w:hAnsi="宋体" w:eastAsia="宋体" w:cs="宋体"/>
          <w:kern w:val="0"/>
          <w:sz w:val="24"/>
          <w:szCs w:val="24"/>
          <w:lang w:val="en-US" w:eastAsia="zh-CN" w:bidi="ar"/>
        </w:rPr>
        <w:t>深化与大型防护用品厂商、政府储备物资生产基地的合作，签订长期供货协议，稳定核心订单来源；扩大研发与销售团队规模，完善股权激励机制，吸引核心技术人才与市场骨干加入，提升团队核心竞争力；构建绿色供应链，优化产品设计与生产工艺，降低产品能耗与碳排放，契合国家绿色发展战略，提升产品市场竞争力；持续推进专利布局，累计申请核心专利达25项以上，进一步强化技术壁垒。</w:t>
      </w:r>
    </w:p>
    <w:p w14:paraId="2B8A981F">
      <w:pPr>
        <w:pStyle w:val="4"/>
        <w:numPr>
          <w:ilvl w:val="0"/>
          <w:numId w:val="26"/>
        </w:numPr>
        <w:bidi w:val="0"/>
        <w:ind w:left="0" w:leftChars="0" w:firstLine="0" w:firstLineChars="0"/>
        <w:rPr>
          <w:rFonts w:hint="default"/>
          <w:lang w:val="en-US" w:eastAsia="zh-CN"/>
        </w:rPr>
      </w:pPr>
      <w:r>
        <w:rPr>
          <w:rFonts w:hint="default"/>
          <w:lang w:val="en-US" w:eastAsia="zh-CN"/>
        </w:rPr>
        <w:t>成熟期（第5年及以后）</w:t>
      </w:r>
    </w:p>
    <w:p w14:paraId="2F7E9A7A">
      <w:pPr>
        <w:keepNext w:val="0"/>
        <w:keepLines w:val="0"/>
        <w:widowControl/>
        <w:suppressLineNumbers w:val="0"/>
        <w:jc w:val="left"/>
      </w:pPr>
      <w:bookmarkStart w:id="47" w:name="_Toc4768"/>
      <w:r>
        <w:rPr>
          <w:rFonts w:ascii="宋体" w:hAnsi="宋体" w:eastAsia="宋体" w:cs="宋体"/>
          <w:kern w:val="0"/>
          <w:sz w:val="24"/>
          <w:szCs w:val="24"/>
          <w:lang w:val="en-US" w:eastAsia="zh-CN" w:bidi="ar"/>
        </w:rPr>
        <w:t>成熟期以“行业领先、拓展海外、生态赋能”为核心任务，立足国内细分领域龙头地位，逐步向海外市场拓展，实现全球化布局。本阶段核心目标为：聚焦东南亚、欧洲等医疗防护需求旺盛的海外区域，搭建海外经销商与售后服务体系，实现年销量突破400套，营收突破50亿元；优化盈利结构，持续提升软件与运维服务的收入占比，推动其占比超过25%，实现盈利多元化，降低单一硬件销售的市场风险。</w:t>
      </w:r>
    </w:p>
    <w:p w14:paraId="1C01B5EA">
      <w:pPr>
        <w:keepNext w:val="0"/>
        <w:keepLines w:val="0"/>
        <w:widowControl/>
        <w:suppressLineNumbers w:val="0"/>
        <w:jc w:val="left"/>
      </w:pPr>
      <w:r>
        <w:rPr>
          <w:rFonts w:ascii="宋体" w:hAnsi="宋体" w:eastAsia="宋体" w:cs="宋体"/>
          <w:kern w:val="0"/>
          <w:sz w:val="24"/>
          <w:szCs w:val="24"/>
          <w:lang w:val="en-US" w:eastAsia="zh-CN" w:bidi="ar"/>
        </w:rPr>
        <w:t>进一步完善“设备-软件-服务-生态”一体化商业体系，与原材料供应商、MES系统服务商、物流企业等上下游伙伴深度合作，提供“设备+原材料+运维+培训”一体化解决方案，提升客户体验与粘性；深化与高校、科研机构的合作，共建研发平台，持续推动核心技术迭代，重点突破智能视觉检测、5G远程控制等高端技术，将生产速度上限提升至200片/分钟，保持技术领先性；打造全球知名的口罩生产自动化设备品牌，持续扩大品牌影响力，实现企业可持续发展，最终巩固细分领域龙头地位，成为全球医疗防护装备自动化解决方案的核心提供商。</w:t>
      </w:r>
    </w:p>
    <w:p w14:paraId="2360327F">
      <w:pPr>
        <w:pStyle w:val="3"/>
        <w:numPr>
          <w:ilvl w:val="0"/>
          <w:numId w:val="25"/>
        </w:numPr>
        <w:bidi w:val="0"/>
        <w:ind w:left="0" w:leftChars="0" w:firstLine="0" w:firstLineChars="0"/>
        <w:rPr>
          <w:rFonts w:hint="default"/>
          <w:lang w:val="en-US" w:eastAsia="zh-CN"/>
        </w:rPr>
      </w:pPr>
      <w:bookmarkStart w:id="48" w:name="_Toc32378"/>
      <w:r>
        <w:rPr>
          <w:rFonts w:hint="default"/>
          <w:lang w:val="en-US" w:eastAsia="zh-CN"/>
        </w:rPr>
        <w:t>核心战略支撑</w:t>
      </w:r>
      <w:bookmarkEnd w:id="47"/>
      <w:bookmarkEnd w:id="48"/>
    </w:p>
    <w:p w14:paraId="47974E4F">
      <w:pPr>
        <w:keepNext w:val="0"/>
        <w:keepLines w:val="0"/>
        <w:widowControl/>
        <w:suppressLineNumbers w:val="0"/>
        <w:jc w:val="left"/>
      </w:pPr>
      <w:bookmarkStart w:id="49" w:name="_Toc16728"/>
      <w:r>
        <w:rPr>
          <w:rFonts w:ascii="宋体" w:hAnsi="宋体" w:eastAsia="宋体" w:cs="宋体"/>
          <w:kern w:val="0"/>
          <w:sz w:val="24"/>
          <w:szCs w:val="24"/>
          <w:lang w:val="en-US" w:eastAsia="zh-CN" w:bidi="ar"/>
        </w:rPr>
        <w:t>为确保5年核心战略目标与各阶段性战略顺利落地，公司聚焦研发、渠道、服务、政策四大核心维度，构建全方位、多层次的战略支撑体系，为战略实施提供坚实保障，破解发展过程中的技术、市场、服务、政策等各类瓶颈。</w:t>
      </w:r>
    </w:p>
    <w:p w14:paraId="534CE7FA">
      <w:pPr>
        <w:keepNext w:val="0"/>
        <w:keepLines w:val="0"/>
        <w:widowControl/>
        <w:suppressLineNumbers w:val="0"/>
        <w:jc w:val="left"/>
      </w:pPr>
      <w:r>
        <w:rPr>
          <w:rFonts w:ascii="宋体" w:hAnsi="宋体" w:eastAsia="宋体" w:cs="宋体"/>
          <w:kern w:val="0"/>
          <w:sz w:val="24"/>
          <w:szCs w:val="24"/>
          <w:lang w:val="en-US" w:eastAsia="zh-CN" w:bidi="ar"/>
        </w:rPr>
        <w:t>研发支撑方面，持续加大研发投入，确保研发投入占营业收入的20%以上，重点聚焦PLC多轴协同算法、智能视觉检测、5G远程控制、AI产能优化等核心技术领域，组建专业研发团队，持续迭代产品性能，优化产品功能，保持行业技术领先性；同时，完善专利布局与技术成果转化机制，推动研发成果快速转化为产品竞争力，强化技术壁垒，抵御市场竞争风险。</w:t>
      </w:r>
    </w:p>
    <w:p w14:paraId="2668BD30">
      <w:pPr>
        <w:keepNext w:val="0"/>
        <w:keepLines w:val="0"/>
        <w:widowControl/>
        <w:suppressLineNumbers w:val="0"/>
        <w:jc w:val="left"/>
      </w:pPr>
      <w:r>
        <w:rPr>
          <w:rFonts w:ascii="宋体" w:hAnsi="宋体" w:eastAsia="宋体" w:cs="宋体"/>
          <w:kern w:val="0"/>
          <w:sz w:val="24"/>
          <w:szCs w:val="24"/>
          <w:lang w:val="en-US" w:eastAsia="zh-CN" w:bidi="ar"/>
        </w:rPr>
        <w:t>渠道支撑方面，采用线上线下深度融合的渠道建设模式，线上优化工业电商平台运营，完善产品展示、在线咨询、订单管理等功能，提升产品曝光度与转化效率；线下深耕经销商拓展与行业合作伙伴联动，重点对接医疗设备协会、防护用品商会等行业机构，举办产品推介会、技术交流会等活动，扩大市场覆盖范围，提升品牌影响力；同时，完善经销商激励与管理体系，提升经销商推广积极性与服务能力。</w:t>
      </w:r>
    </w:p>
    <w:p w14:paraId="0D3F8B93">
      <w:pPr>
        <w:keepNext w:val="0"/>
        <w:keepLines w:val="0"/>
        <w:widowControl/>
        <w:suppressLineNumbers w:val="0"/>
        <w:jc w:val="left"/>
      </w:pPr>
      <w:r>
        <w:rPr>
          <w:rFonts w:ascii="宋体" w:hAnsi="宋体" w:eastAsia="宋体" w:cs="宋体"/>
          <w:kern w:val="0"/>
          <w:sz w:val="24"/>
          <w:szCs w:val="24"/>
          <w:lang w:val="en-US" w:eastAsia="zh-CN" w:bidi="ar"/>
        </w:rPr>
        <w:t>服务支撑方面，坚持以客户需求为核心，持续优化产品与服务流程，建立客户反馈快速响应机制，确保客户诉求24小时内得到响应、48小时内得到解决；定期组织客户培训、技术交流与设备巡检活动，提升客户操作人员的专业能力，及时排查设备潜在故障，提升客户使用体验；持续完善全国性服务网络，在核心区域增设服务站点，提升服务响应速度，确保客户满意度稳定在95%以上，提升客户粘性与复购率。</w:t>
      </w:r>
    </w:p>
    <w:p w14:paraId="768C3916">
      <w:pPr>
        <w:keepNext w:val="0"/>
        <w:keepLines w:val="0"/>
        <w:widowControl/>
        <w:suppressLineNumbers w:val="0"/>
        <w:jc w:val="left"/>
      </w:pPr>
      <w:r>
        <w:rPr>
          <w:rFonts w:ascii="宋体" w:hAnsi="宋体" w:eastAsia="宋体" w:cs="宋体"/>
          <w:kern w:val="0"/>
          <w:sz w:val="24"/>
          <w:szCs w:val="24"/>
          <w:lang w:val="en-US" w:eastAsia="zh-CN" w:bidi="ar"/>
        </w:rPr>
        <w:t>政策支撑方面，密切跟踪国家及地方关于医疗防护装备、工业自动化、国产化替代、绿色发展等相关政策，积极对接政府部门，申请研发补贴、绿色产品认证、高新技术企业延续认证等，通过政策红利降低企业运营成本；主动对接政府采购渠道，积极参与应急物资生产设备采购项目，争取政府订单，拓宽市场空间；同时，依托政策导向，深化国产化供应链布局，推动核心部件国产化替代，契合国家产业发展战略，提升企业政策适配性与市场竞争力。</w:t>
      </w:r>
    </w:p>
    <w:p w14:paraId="5844083B">
      <w:pPr>
        <w:pStyle w:val="2"/>
        <w:bidi w:val="0"/>
        <w:rPr>
          <w:rFonts w:hint="default"/>
          <w:lang w:val="en-US" w:eastAsia="zh-CN"/>
        </w:rPr>
      </w:pPr>
      <w:bookmarkStart w:id="50" w:name="_Toc4714"/>
      <w:r>
        <w:rPr>
          <w:rFonts w:hint="default"/>
          <w:lang w:val="en-US" w:eastAsia="zh-CN"/>
        </w:rPr>
        <w:t>财务分析</w:t>
      </w:r>
      <w:bookmarkEnd w:id="49"/>
      <w:bookmarkEnd w:id="50"/>
    </w:p>
    <w:p w14:paraId="5F018A83">
      <w:pPr>
        <w:pStyle w:val="3"/>
        <w:numPr>
          <w:ilvl w:val="0"/>
          <w:numId w:val="27"/>
        </w:numPr>
        <w:bidi w:val="0"/>
        <w:ind w:left="0" w:leftChars="0" w:firstLine="0" w:firstLineChars="0"/>
        <w:rPr>
          <w:rFonts w:hint="default"/>
          <w:lang w:val="en-US" w:eastAsia="zh-CN"/>
        </w:rPr>
      </w:pPr>
      <w:bookmarkStart w:id="51" w:name="_Toc30273"/>
      <w:bookmarkStart w:id="52" w:name="_Toc25699"/>
      <w:r>
        <w:rPr>
          <w:rFonts w:hint="default"/>
          <w:lang w:val="en-US" w:eastAsia="zh-CN"/>
        </w:rPr>
        <w:t>财务假设</w:t>
      </w:r>
      <w:bookmarkEnd w:id="51"/>
      <w:bookmarkEnd w:id="52"/>
    </w:p>
    <w:p w14:paraId="1078BAB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本项目基于行业发展规律与产品市场布局节奏，制定全周期财务假设，核心围绕产品定价、销量、成本及政策优惠展开。</w:t>
      </w:r>
    </w:p>
    <w:p w14:paraId="0161B7D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产品定价保持稳定，标准化基础款 50 万元 / 套，高速款 100 万元 / 套，定制款 120-150 万元 / 套，软件升级服务与运维服务价格按年度微调（≤5%）。销量按阶段增长，初创期（1-2 年）累计销量 150 套，成长期（3-4 年）累计销量 350 套，成熟期（第 5 年）销量 400 套。</w:t>
      </w:r>
    </w:p>
    <w:p w14:paraId="14C818C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成本随规模效应下降，初创期单位生产成本 35 万元，成长期降至 32 万元，成熟期降至 30 万元；期间费用（销售、管理、研发）占营业收入的比例，初创期为 35%，成长期降至 30%，成熟期优化至 25%。</w:t>
      </w:r>
    </w:p>
    <w:p w14:paraId="3CD9C2A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政策优惠方面，享受 15% 企业所得税优惠，研发费用加计扣除比例 75%；全周期累计可获得政府研发补贴与采购补贴 5000 万元，为项目运营提供财务支撑。</w:t>
      </w:r>
    </w:p>
    <w:p w14:paraId="1150693A">
      <w:pPr>
        <w:pStyle w:val="3"/>
        <w:numPr>
          <w:ilvl w:val="0"/>
          <w:numId w:val="27"/>
        </w:numPr>
        <w:bidi w:val="0"/>
        <w:ind w:left="0" w:leftChars="0" w:firstLine="0" w:firstLineChars="0"/>
        <w:rPr>
          <w:rFonts w:hint="default"/>
          <w:lang w:val="en-US" w:eastAsia="zh-CN"/>
        </w:rPr>
      </w:pPr>
      <w:bookmarkStart w:id="53" w:name="_Toc8900"/>
      <w:bookmarkStart w:id="54" w:name="_Toc5836"/>
      <w:r>
        <w:rPr>
          <w:rFonts w:hint="default"/>
          <w:lang w:val="en-US" w:eastAsia="zh-CN"/>
        </w:rPr>
        <w:t>核心财务数据</w:t>
      </w:r>
      <w:bookmarkEnd w:id="53"/>
      <w:bookmarkEnd w:id="54"/>
    </w:p>
    <w:tbl>
      <w:tblPr>
        <w:tblStyle w:val="14"/>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331"/>
        <w:gridCol w:w="1095"/>
        <w:gridCol w:w="1200"/>
        <w:gridCol w:w="1680"/>
        <w:gridCol w:w="1680"/>
        <w:gridCol w:w="1680"/>
      </w:tblGrid>
      <w:tr w14:paraId="70FC298F">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nil"/>
              <w:left w:val="nil"/>
              <w:bottom w:val="single" w:color="000000" w:sz="4" w:space="0"/>
              <w:right w:val="single" w:color="000000" w:sz="4" w:space="0"/>
            </w:tcBorders>
            <w:shd w:val="clear" w:color="auto" w:fill="F2F2F2"/>
            <w:tcMar>
              <w:top w:w="120" w:type="dxa"/>
              <w:left w:w="180" w:type="dxa"/>
              <w:bottom w:w="120" w:type="dxa"/>
              <w:right w:w="180" w:type="dxa"/>
            </w:tcMar>
            <w:vAlign w:val="center"/>
          </w:tcPr>
          <w:p w14:paraId="01FDDE7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项目</w:t>
            </w:r>
          </w:p>
        </w:tc>
        <w:tc>
          <w:tcPr>
            <w:tcW w:w="0" w:type="auto"/>
            <w:tcBorders>
              <w:top w:val="nil"/>
              <w:left w:val="single" w:color="000000" w:sz="4" w:space="0"/>
              <w:bottom w:val="single" w:color="000000" w:sz="4" w:space="0"/>
              <w:right w:val="single" w:color="000000" w:sz="4" w:space="0"/>
            </w:tcBorders>
            <w:shd w:val="clear" w:color="auto" w:fill="F2F2F2"/>
            <w:tcMar>
              <w:top w:w="120" w:type="dxa"/>
              <w:left w:w="180" w:type="dxa"/>
              <w:bottom w:w="120" w:type="dxa"/>
              <w:right w:w="180" w:type="dxa"/>
            </w:tcMar>
            <w:vAlign w:val="center"/>
          </w:tcPr>
          <w:p w14:paraId="349938B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eastAsia" w:ascii="宋体" w:hAnsi="宋体" w:eastAsia="宋体" w:cs="宋体"/>
                <w:b w:val="0"/>
                <w:bCs w:val="0"/>
                <w:kern w:val="0"/>
                <w:sz w:val="24"/>
                <w:szCs w:val="16"/>
                <w:lang w:val="en-US" w:eastAsia="zh-CN" w:bidi="ar"/>
              </w:rPr>
              <w:t>第</w:t>
            </w:r>
            <w:r>
              <w:rPr>
                <w:rFonts w:hint="default" w:ascii="宋体" w:hAnsi="宋体" w:eastAsia="宋体" w:cs="宋体"/>
                <w:b w:val="0"/>
                <w:bCs w:val="0"/>
                <w:kern w:val="0"/>
                <w:sz w:val="24"/>
                <w:szCs w:val="16"/>
                <w:lang w:val="en-US" w:eastAsia="zh-CN" w:bidi="ar"/>
              </w:rPr>
              <w:t>1 年</w:t>
            </w:r>
          </w:p>
        </w:tc>
        <w:tc>
          <w:tcPr>
            <w:tcW w:w="0" w:type="auto"/>
            <w:tcBorders>
              <w:top w:val="nil"/>
              <w:left w:val="single" w:color="000000" w:sz="4" w:space="0"/>
              <w:bottom w:val="single" w:color="000000" w:sz="4" w:space="0"/>
              <w:right w:val="single" w:color="000000" w:sz="4" w:space="0"/>
            </w:tcBorders>
            <w:shd w:val="clear" w:color="auto" w:fill="F2F2F2"/>
            <w:tcMar>
              <w:top w:w="120" w:type="dxa"/>
              <w:left w:w="180" w:type="dxa"/>
              <w:bottom w:w="120" w:type="dxa"/>
              <w:right w:w="180" w:type="dxa"/>
            </w:tcMar>
            <w:vAlign w:val="center"/>
          </w:tcPr>
          <w:p w14:paraId="06278E9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第 2 年</w:t>
            </w:r>
          </w:p>
        </w:tc>
        <w:tc>
          <w:tcPr>
            <w:tcW w:w="0" w:type="auto"/>
            <w:tcBorders>
              <w:top w:val="nil"/>
              <w:left w:val="single" w:color="000000" w:sz="4" w:space="0"/>
              <w:bottom w:val="single" w:color="000000" w:sz="4" w:space="0"/>
              <w:right w:val="single" w:color="000000" w:sz="4" w:space="0"/>
            </w:tcBorders>
            <w:shd w:val="clear" w:color="auto" w:fill="F2F2F2"/>
            <w:tcMar>
              <w:top w:w="120" w:type="dxa"/>
              <w:left w:w="180" w:type="dxa"/>
              <w:bottom w:w="120" w:type="dxa"/>
              <w:right w:w="180" w:type="dxa"/>
            </w:tcMar>
            <w:vAlign w:val="center"/>
          </w:tcPr>
          <w:p w14:paraId="1C975D7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第 3 年</w:t>
            </w:r>
          </w:p>
        </w:tc>
        <w:tc>
          <w:tcPr>
            <w:tcW w:w="0" w:type="auto"/>
            <w:tcBorders>
              <w:top w:val="nil"/>
              <w:left w:val="single" w:color="000000" w:sz="4" w:space="0"/>
              <w:bottom w:val="single" w:color="000000" w:sz="4" w:space="0"/>
              <w:right w:val="single" w:color="000000" w:sz="4" w:space="0"/>
            </w:tcBorders>
            <w:shd w:val="clear" w:color="auto" w:fill="F2F2F2"/>
            <w:tcMar>
              <w:top w:w="120" w:type="dxa"/>
              <w:left w:w="180" w:type="dxa"/>
              <w:bottom w:w="120" w:type="dxa"/>
              <w:right w:w="180" w:type="dxa"/>
            </w:tcMar>
            <w:vAlign w:val="center"/>
          </w:tcPr>
          <w:p w14:paraId="0D97BB0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第 4 年</w:t>
            </w:r>
          </w:p>
        </w:tc>
        <w:tc>
          <w:tcPr>
            <w:tcW w:w="0" w:type="auto"/>
            <w:tcBorders>
              <w:top w:val="nil"/>
              <w:left w:val="single" w:color="000000" w:sz="4" w:space="0"/>
              <w:bottom w:val="single" w:color="000000" w:sz="4" w:space="0"/>
              <w:right w:val="nil"/>
            </w:tcBorders>
            <w:shd w:val="clear" w:color="auto" w:fill="F2F2F2"/>
            <w:tcMar>
              <w:top w:w="120" w:type="dxa"/>
              <w:left w:w="180" w:type="dxa"/>
              <w:bottom w:w="120" w:type="dxa"/>
              <w:right w:w="180" w:type="dxa"/>
            </w:tcMar>
            <w:vAlign w:val="center"/>
          </w:tcPr>
          <w:p w14:paraId="7E21C91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第 5 年</w:t>
            </w:r>
          </w:p>
        </w:tc>
      </w:tr>
      <w:tr w14:paraId="51E226E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331" w:type="dxa"/>
            <w:tcBorders>
              <w:top w:val="single" w:color="000000" w:sz="4" w:space="0"/>
              <w:left w:val="nil"/>
              <w:bottom w:val="single" w:color="000000" w:sz="4" w:space="0"/>
              <w:right w:val="single" w:color="000000" w:sz="4" w:space="0"/>
            </w:tcBorders>
            <w:shd w:val="clear" w:color="auto" w:fill="FFFFFF"/>
            <w:tcMar>
              <w:top w:w="120" w:type="dxa"/>
              <w:left w:w="180" w:type="dxa"/>
              <w:bottom w:w="120" w:type="dxa"/>
              <w:right w:w="180" w:type="dxa"/>
            </w:tcMar>
            <w:vAlign w:val="center"/>
          </w:tcPr>
          <w:p w14:paraId="7B249B5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营业收入（万元）</w:t>
            </w:r>
          </w:p>
        </w:tc>
        <w:tc>
          <w:tcPr>
            <w:tcW w:w="1095"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5AEAEDA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30000</w:t>
            </w:r>
          </w:p>
        </w:tc>
        <w:tc>
          <w:tcPr>
            <w:tcW w:w="1200"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409683C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50000</w:t>
            </w:r>
          </w:p>
        </w:tc>
        <w:tc>
          <w:tcPr>
            <w:tcW w:w="1680"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0A14660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120000</w:t>
            </w:r>
          </w:p>
        </w:tc>
        <w:tc>
          <w:tcPr>
            <w:tcW w:w="1680"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11AB160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180000</w:t>
            </w:r>
          </w:p>
        </w:tc>
        <w:tc>
          <w:tcPr>
            <w:tcW w:w="1680" w:type="dxa"/>
            <w:tcBorders>
              <w:top w:val="single" w:color="000000" w:sz="4" w:space="0"/>
              <w:left w:val="single" w:color="000000" w:sz="4" w:space="0"/>
              <w:bottom w:val="single" w:color="000000" w:sz="4" w:space="0"/>
              <w:right w:val="nil"/>
            </w:tcBorders>
            <w:shd w:val="clear" w:color="auto" w:fill="FFFFFF"/>
            <w:tcMar>
              <w:top w:w="120" w:type="dxa"/>
              <w:left w:w="180" w:type="dxa"/>
              <w:bottom w:w="120" w:type="dxa"/>
              <w:right w:w="180" w:type="dxa"/>
            </w:tcMar>
            <w:vAlign w:val="center"/>
          </w:tcPr>
          <w:p w14:paraId="30F6794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250000</w:t>
            </w:r>
          </w:p>
        </w:tc>
      </w:tr>
      <w:tr w14:paraId="6D8C847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331" w:type="dxa"/>
            <w:tcBorders>
              <w:top w:val="single" w:color="000000" w:sz="4" w:space="0"/>
              <w:left w:val="nil"/>
              <w:bottom w:val="single" w:color="000000" w:sz="4" w:space="0"/>
              <w:right w:val="single" w:color="000000" w:sz="4" w:space="0"/>
            </w:tcBorders>
            <w:shd w:val="clear" w:color="auto" w:fill="FFFFFF"/>
            <w:tcMar>
              <w:top w:w="120" w:type="dxa"/>
              <w:left w:w="180" w:type="dxa"/>
              <w:bottom w:w="120" w:type="dxa"/>
              <w:right w:w="180" w:type="dxa"/>
            </w:tcMar>
            <w:vAlign w:val="center"/>
          </w:tcPr>
          <w:p w14:paraId="73703EC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净利润（万元）</w:t>
            </w:r>
          </w:p>
        </w:tc>
        <w:tc>
          <w:tcPr>
            <w:tcW w:w="1095"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50AB2E4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4500</w:t>
            </w:r>
          </w:p>
        </w:tc>
        <w:tc>
          <w:tcPr>
            <w:tcW w:w="1200"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4392F72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7500</w:t>
            </w:r>
          </w:p>
        </w:tc>
        <w:tc>
          <w:tcPr>
            <w:tcW w:w="1680"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0D4E08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18000</w:t>
            </w:r>
          </w:p>
        </w:tc>
        <w:tc>
          <w:tcPr>
            <w:tcW w:w="1680"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6389355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27000</w:t>
            </w:r>
          </w:p>
        </w:tc>
        <w:tc>
          <w:tcPr>
            <w:tcW w:w="1680" w:type="dxa"/>
            <w:tcBorders>
              <w:top w:val="single" w:color="000000" w:sz="4" w:space="0"/>
              <w:left w:val="single" w:color="000000" w:sz="4" w:space="0"/>
              <w:bottom w:val="single" w:color="000000" w:sz="4" w:space="0"/>
              <w:right w:val="nil"/>
            </w:tcBorders>
            <w:shd w:val="clear" w:color="auto" w:fill="FFFFFF"/>
            <w:tcMar>
              <w:top w:w="120" w:type="dxa"/>
              <w:left w:w="180" w:type="dxa"/>
              <w:bottom w:w="120" w:type="dxa"/>
              <w:right w:w="180" w:type="dxa"/>
            </w:tcMar>
            <w:vAlign w:val="center"/>
          </w:tcPr>
          <w:p w14:paraId="33E4CF7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40000</w:t>
            </w:r>
          </w:p>
        </w:tc>
      </w:tr>
      <w:tr w14:paraId="670BE1E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331" w:type="dxa"/>
            <w:tcBorders>
              <w:top w:val="single" w:color="000000" w:sz="4" w:space="0"/>
              <w:left w:val="nil"/>
              <w:bottom w:val="nil"/>
              <w:right w:val="single" w:color="000000" w:sz="4" w:space="0"/>
            </w:tcBorders>
            <w:shd w:val="clear" w:color="auto" w:fill="FFFFFF"/>
            <w:tcMar>
              <w:top w:w="120" w:type="dxa"/>
              <w:left w:w="180" w:type="dxa"/>
              <w:bottom w:w="120" w:type="dxa"/>
              <w:right w:w="180" w:type="dxa"/>
            </w:tcMar>
            <w:vAlign w:val="center"/>
          </w:tcPr>
          <w:p w14:paraId="1CE13FA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期末现金余额（万元）</w:t>
            </w:r>
          </w:p>
        </w:tc>
        <w:tc>
          <w:tcPr>
            <w:tcW w:w="1095" w:type="dxa"/>
            <w:tcBorders>
              <w:top w:val="single" w:color="000000" w:sz="4" w:space="0"/>
              <w:left w:val="single" w:color="000000" w:sz="4" w:space="0"/>
              <w:bottom w:val="nil"/>
              <w:right w:val="single" w:color="000000" w:sz="4" w:space="0"/>
            </w:tcBorders>
            <w:shd w:val="clear" w:color="auto" w:fill="FFFFFF"/>
            <w:tcMar>
              <w:top w:w="120" w:type="dxa"/>
              <w:left w:w="180" w:type="dxa"/>
              <w:bottom w:w="120" w:type="dxa"/>
              <w:right w:w="180" w:type="dxa"/>
            </w:tcMar>
            <w:vAlign w:val="center"/>
          </w:tcPr>
          <w:p w14:paraId="700075E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3800</w:t>
            </w:r>
          </w:p>
        </w:tc>
        <w:tc>
          <w:tcPr>
            <w:tcW w:w="1200" w:type="dxa"/>
            <w:tcBorders>
              <w:top w:val="single" w:color="000000" w:sz="4" w:space="0"/>
              <w:left w:val="single" w:color="000000" w:sz="4" w:space="0"/>
              <w:bottom w:val="nil"/>
              <w:right w:val="single" w:color="000000" w:sz="4" w:space="0"/>
            </w:tcBorders>
            <w:shd w:val="clear" w:color="auto" w:fill="FFFFFF"/>
            <w:tcMar>
              <w:top w:w="120" w:type="dxa"/>
              <w:left w:w="180" w:type="dxa"/>
              <w:bottom w:w="120" w:type="dxa"/>
              <w:right w:w="180" w:type="dxa"/>
            </w:tcMar>
            <w:vAlign w:val="center"/>
          </w:tcPr>
          <w:p w14:paraId="719524F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10500</w:t>
            </w:r>
          </w:p>
        </w:tc>
        <w:tc>
          <w:tcPr>
            <w:tcW w:w="1680" w:type="dxa"/>
            <w:tcBorders>
              <w:top w:val="single" w:color="000000" w:sz="4" w:space="0"/>
              <w:left w:val="single" w:color="000000" w:sz="4" w:space="0"/>
              <w:bottom w:val="nil"/>
              <w:right w:val="single" w:color="000000" w:sz="4" w:space="0"/>
            </w:tcBorders>
            <w:shd w:val="clear" w:color="auto" w:fill="FFFFFF"/>
            <w:tcMar>
              <w:top w:w="120" w:type="dxa"/>
              <w:left w:w="180" w:type="dxa"/>
              <w:bottom w:w="120" w:type="dxa"/>
              <w:right w:w="180" w:type="dxa"/>
            </w:tcMar>
            <w:vAlign w:val="center"/>
          </w:tcPr>
          <w:p w14:paraId="15F687C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27000</w:t>
            </w:r>
          </w:p>
        </w:tc>
        <w:tc>
          <w:tcPr>
            <w:tcW w:w="1680" w:type="dxa"/>
            <w:tcBorders>
              <w:top w:val="single" w:color="000000" w:sz="4" w:space="0"/>
              <w:left w:val="single" w:color="000000" w:sz="4" w:space="0"/>
              <w:bottom w:val="nil"/>
              <w:right w:val="single" w:color="000000" w:sz="4" w:space="0"/>
            </w:tcBorders>
            <w:shd w:val="clear" w:color="auto" w:fill="FFFFFF"/>
            <w:tcMar>
              <w:top w:w="120" w:type="dxa"/>
              <w:left w:w="180" w:type="dxa"/>
              <w:bottom w:w="120" w:type="dxa"/>
              <w:right w:w="180" w:type="dxa"/>
            </w:tcMar>
            <w:vAlign w:val="center"/>
          </w:tcPr>
          <w:p w14:paraId="1FAFE87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52000</w:t>
            </w:r>
          </w:p>
        </w:tc>
        <w:tc>
          <w:tcPr>
            <w:tcW w:w="1680" w:type="dxa"/>
            <w:tcBorders>
              <w:top w:val="single" w:color="000000" w:sz="4" w:space="0"/>
              <w:left w:val="single" w:color="000000" w:sz="4" w:space="0"/>
              <w:bottom w:val="nil"/>
              <w:right w:val="nil"/>
            </w:tcBorders>
            <w:shd w:val="clear" w:color="auto" w:fill="FFFFFF"/>
            <w:tcMar>
              <w:top w:w="120" w:type="dxa"/>
              <w:left w:w="180" w:type="dxa"/>
              <w:bottom w:w="120" w:type="dxa"/>
              <w:right w:w="180" w:type="dxa"/>
            </w:tcMar>
            <w:vAlign w:val="center"/>
          </w:tcPr>
          <w:p w14:paraId="2990CDE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90000</w:t>
            </w:r>
          </w:p>
        </w:tc>
      </w:tr>
    </w:tbl>
    <w:p w14:paraId="6CF1F5B7">
      <w:pPr>
        <w:numPr>
          <w:ilvl w:val="0"/>
          <w:numId w:val="0"/>
        </w:numPr>
        <w:tabs>
          <w:tab w:val="left" w:pos="0"/>
        </w:tabs>
        <w:bidi w:val="0"/>
        <w:ind w:leftChars="0"/>
        <w:jc w:val="center"/>
        <w:rPr>
          <w:rFonts w:hint="default"/>
          <w:lang w:val="en-US" w:eastAsia="zh-CN"/>
        </w:rPr>
      </w:pPr>
      <w:bookmarkStart w:id="55" w:name="_Toc20532"/>
      <w:r>
        <w:rPr>
          <w:rFonts w:hint="eastAsia" w:ascii="宋体" w:hAnsi="宋体" w:eastAsia="宋体" w:cs="宋体"/>
          <w:b w:val="0"/>
          <w:bCs w:val="0"/>
          <w:kern w:val="0"/>
          <w:sz w:val="24"/>
          <w:szCs w:val="16"/>
          <w:lang w:val="en-US" w:eastAsia="zh-CN" w:bidi="ar"/>
        </w:rPr>
        <w:t xml:space="preserve">表7.1 </w:t>
      </w:r>
      <w:r>
        <w:rPr>
          <w:rFonts w:hint="default" w:ascii="Segoe UI" w:hAnsi="Segoe UI" w:eastAsia="宋体" w:cs="Segoe UI"/>
          <w:b w:val="0"/>
          <w:bCs w:val="0"/>
          <w:i w:val="0"/>
          <w:iCs w:val="0"/>
          <w:caps w:val="0"/>
          <w:color w:val="000000"/>
          <w:spacing w:val="0"/>
          <w:kern w:val="0"/>
          <w:sz w:val="24"/>
          <w:szCs w:val="16"/>
          <w:shd w:val="clear" w:fill="FFFFFF"/>
          <w:lang w:val="en-US" w:eastAsia="zh-CN" w:bidi="ar"/>
        </w:rPr>
        <w:t>核心</w:t>
      </w:r>
      <w:r>
        <w:rPr>
          <w:rFonts w:hint="eastAsia" w:ascii="Segoe UI" w:hAnsi="Segoe UI" w:eastAsia="宋体" w:cs="Segoe UI"/>
          <w:b w:val="0"/>
          <w:bCs w:val="0"/>
          <w:i w:val="0"/>
          <w:iCs w:val="0"/>
          <w:caps w:val="0"/>
          <w:color w:val="000000"/>
          <w:spacing w:val="0"/>
          <w:kern w:val="0"/>
          <w:sz w:val="24"/>
          <w:szCs w:val="16"/>
          <w:shd w:val="clear" w:fill="FFFFFF"/>
          <w:lang w:val="en-US" w:eastAsia="zh-CN" w:bidi="ar"/>
        </w:rPr>
        <w:t>财务数据</w:t>
      </w:r>
      <w:r>
        <w:rPr>
          <w:rFonts w:hint="default" w:ascii="Segoe UI" w:hAnsi="Segoe UI" w:eastAsia="宋体" w:cs="Segoe UI"/>
          <w:b w:val="0"/>
          <w:bCs w:val="0"/>
          <w:i w:val="0"/>
          <w:iCs w:val="0"/>
          <w:caps w:val="0"/>
          <w:color w:val="000000"/>
          <w:spacing w:val="0"/>
          <w:kern w:val="0"/>
          <w:sz w:val="24"/>
          <w:szCs w:val="16"/>
          <w:shd w:val="clear" w:fill="FFFFFF"/>
          <w:lang w:val="en-US" w:eastAsia="zh-CN" w:bidi="ar"/>
        </w:rPr>
        <w:t>（单位：万元）</w:t>
      </w:r>
    </w:p>
    <w:p w14:paraId="32BFB655">
      <w:pPr>
        <w:pStyle w:val="3"/>
        <w:numPr>
          <w:ilvl w:val="0"/>
          <w:numId w:val="27"/>
        </w:numPr>
        <w:bidi w:val="0"/>
        <w:ind w:left="0" w:leftChars="0" w:firstLine="0" w:firstLineChars="0"/>
        <w:rPr>
          <w:rFonts w:hint="default"/>
          <w:lang w:val="en-US" w:eastAsia="zh-CN"/>
        </w:rPr>
      </w:pPr>
      <w:bookmarkStart w:id="56" w:name="_Toc20864"/>
      <w:r>
        <w:rPr>
          <w:rFonts w:hint="default"/>
          <w:lang w:val="en-US" w:eastAsia="zh-CN"/>
        </w:rPr>
        <w:t>盈利能力与风险应对</w:t>
      </w:r>
      <w:bookmarkEnd w:id="55"/>
      <w:bookmarkEnd w:id="56"/>
    </w:p>
    <w:p w14:paraId="05F097E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盈利能力方面，依托硬件销售的规模效应与软件服务的高毛利，项目全周期毛利率稳定维持在 30%-45%。随着软件与服务收入占比提升，净利率从初创期的 15% 逐步提升至成熟期的 16%，5 年累计投资回报率（ROI）可达 200%，盈利水平与抗风险能力持续增强。</w:t>
      </w:r>
    </w:p>
    <w:p w14:paraId="5A4D883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风险应对方面，针对现金流紧张风险，优化销售回款周期，要求客户预付 30% 定金，发货前支付 50% 货款，安装调试完成后支付 20% 尾款；与核心供应商签订 6 个月账期协议，缓解资金周转压力。针对成本波动风险，与供应商签订长期价格锁定协议，锁定核心部件采购价格；通过销量规模化进一步摊薄生产成本，巩固成本优势。</w:t>
      </w:r>
    </w:p>
    <w:p w14:paraId="7E9B468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针对市场竞争加剧风险，持续加大研发投入，每季度推出软件更新，每年迭代硬件功能，强化技术壁垒；拓展海外市场，降低国内市场竞争压力。通过完善的风险应对体系，保障项目盈利目标稳步实现。</w:t>
      </w:r>
    </w:p>
    <w:p w14:paraId="07A9700E">
      <w:pPr>
        <w:pStyle w:val="2"/>
        <w:bidi w:val="0"/>
        <w:rPr>
          <w:rFonts w:hint="default"/>
          <w:lang w:val="en-US" w:eastAsia="zh-CN"/>
        </w:rPr>
      </w:pPr>
      <w:bookmarkStart w:id="57" w:name="_Toc12524"/>
      <w:bookmarkStart w:id="58" w:name="_Toc2762"/>
      <w:r>
        <w:rPr>
          <w:rFonts w:hint="default"/>
          <w:lang w:val="en-US" w:eastAsia="zh-CN"/>
        </w:rPr>
        <w:t>风险防范</w:t>
      </w:r>
      <w:bookmarkEnd w:id="57"/>
      <w:bookmarkEnd w:id="58"/>
    </w:p>
    <w:p w14:paraId="5474B204">
      <w:pPr>
        <w:keepNext w:val="0"/>
        <w:keepLines w:val="0"/>
        <w:widowControl/>
        <w:suppressLineNumbers w:val="0"/>
        <w:jc w:val="left"/>
        <w:rPr>
          <w:rFonts w:hint="default"/>
          <w:lang w:val="en-US" w:eastAsia="zh-CN"/>
        </w:rPr>
      </w:pPr>
      <w:r>
        <w:rPr>
          <w:rFonts w:ascii="宋体" w:hAnsi="宋体" w:eastAsia="宋体" w:cs="宋体"/>
          <w:kern w:val="0"/>
          <w:sz w:val="24"/>
          <w:szCs w:val="24"/>
          <w:lang w:val="en-US" w:eastAsia="zh-CN" w:bidi="ar"/>
        </w:rPr>
        <w:t>基于前文公司发展战略、商业模式及产品技术特点，结合N95口罩自动化生产设备行业发展现状与市场环境，全面梳理项目运营过程中可能面临的技术、市场、供应链、运营、政策与合规五大类核心风险，明确各类风险的具体表现，针对性制定可落地、可执行的防范措施，建立全方位风险防控体系，保障公司战略目标顺利实现，推动企业持续稳定发展。</w:t>
      </w:r>
    </w:p>
    <w:p w14:paraId="46C4B83E">
      <w:pPr>
        <w:pStyle w:val="3"/>
        <w:numPr>
          <w:ilvl w:val="0"/>
          <w:numId w:val="28"/>
        </w:numPr>
        <w:bidi w:val="0"/>
        <w:ind w:left="0" w:leftChars="0" w:firstLine="0" w:firstLineChars="0"/>
        <w:rPr>
          <w:rFonts w:hint="default"/>
          <w:lang w:val="en-US" w:eastAsia="zh-CN"/>
        </w:rPr>
      </w:pPr>
      <w:bookmarkStart w:id="59" w:name="_Toc17707"/>
      <w:bookmarkStart w:id="60" w:name="_Toc3545"/>
      <w:r>
        <w:rPr>
          <w:rFonts w:hint="default"/>
          <w:lang w:val="en-US" w:eastAsia="zh-CN"/>
        </w:rPr>
        <w:t>技术风险</w:t>
      </w:r>
      <w:bookmarkEnd w:id="59"/>
      <w:bookmarkEnd w:id="60"/>
    </w:p>
    <w:p w14:paraId="612C79C0">
      <w:pPr>
        <w:keepNext w:val="0"/>
        <w:keepLines w:val="0"/>
        <w:widowControl/>
        <w:suppressLineNumbers w:val="0"/>
        <w:jc w:val="left"/>
        <w:rPr>
          <w:rFonts w:hint="default"/>
          <w:lang w:val="en-US" w:eastAsia="zh-CN"/>
        </w:rPr>
      </w:pPr>
      <w:r>
        <w:rPr>
          <w:rFonts w:ascii="宋体" w:hAnsi="宋体" w:eastAsia="宋体" w:cs="宋体"/>
          <w:kern w:val="0"/>
          <w:sz w:val="24"/>
          <w:szCs w:val="24"/>
          <w:lang w:val="en-US" w:eastAsia="zh-CN" w:bidi="ar"/>
        </w:rPr>
        <w:t>技术风险是本项目核心风险之一，主要集中在核心技术迭代、知识产权保护与产品性能稳定性三个方面。其一，PLC多轴协同控制算法作为设备核心技术，若研发迭代速度不及预期，无法及时适配更高生产速度（如前文规划的200片/分钟）与更复杂的生产场景，将导致产品竞争力下降，难以满足客户精细化生产需求；其二，核心技术未形成完善的知识产权保护，易被同行抄袭或模仿，丧失技术壁垒，影响企业市场份额与品牌优势；其三，设备在180片/分钟及以上的高速生产场景下，可能出现多轴同步性偏差，导致布料褶皱、耳带焊接偏移、裁切不齐等问题，影响产品质量；此外，软件系统若存在未被发现的漏洞，可能引发程序崩溃、生产中断，或导致生产参数、故障日志等核心数据丢失，造成客户生产损失。</w:t>
      </w:r>
    </w:p>
    <w:p w14:paraId="253BE046">
      <w:pPr>
        <w:pStyle w:val="4"/>
        <w:numPr>
          <w:ilvl w:val="0"/>
          <w:numId w:val="29"/>
        </w:numPr>
        <w:bidi w:val="0"/>
        <w:ind w:left="0" w:leftChars="0" w:firstLine="0" w:firstLineChars="0"/>
        <w:rPr>
          <w:rFonts w:hint="eastAsia"/>
          <w:lang w:val="en-US" w:eastAsia="zh-CN"/>
        </w:rPr>
      </w:pPr>
      <w:r>
        <w:rPr>
          <w:rFonts w:hint="eastAsia"/>
          <w:lang w:val="en-US" w:eastAsia="zh-CN"/>
        </w:rPr>
        <w:t>风险描述</w:t>
      </w:r>
    </w:p>
    <w:p w14:paraId="2B642927">
      <w:pPr>
        <w:keepNext w:val="0"/>
        <w:keepLines w:val="0"/>
        <w:widowControl/>
        <w:suppressLineNumbers w:val="0"/>
        <w:jc w:val="left"/>
      </w:pPr>
      <w:r>
        <w:rPr>
          <w:rFonts w:ascii="宋体" w:hAnsi="宋体" w:eastAsia="宋体" w:cs="宋体"/>
          <w:kern w:val="0"/>
          <w:sz w:val="24"/>
          <w:szCs w:val="24"/>
          <w:lang w:val="en-US" w:eastAsia="zh-CN" w:bidi="ar"/>
        </w:rPr>
        <w:t>技术风险是本项目核心风险之一，主要集中在核心技术迭代、知识产权保护与产品性能稳定性三个方面。其一，PLC多轴协同控制算法作为设备核心技术，若研发迭代速度不及预期，无法及时适配更高生产速度（如前文规划的200片/分钟）与更复杂的生产场景，将导致产品竞争力下降，难以满足客户精细化生产需求；其二，核心技术未形成完善的知识产权保护，易被同行抄袭或模仿，丧失技术壁垒，影响企业市场份额与品牌优势；其三，设备在180片/分钟及以上的高速生产场景下，可能出现多轴同步性偏差，导致布料褶皱、耳带焊接偏移、裁切不齐等问题，影响产品质量；此外，软件系统若存在未被发现的漏洞，可能引发程序崩溃、生产中断，或导致生产参数、故障日志等核心数据丢失，造成客户生产损失。</w:t>
      </w:r>
    </w:p>
    <w:p w14:paraId="00B33173">
      <w:pPr>
        <w:pStyle w:val="4"/>
        <w:numPr>
          <w:ilvl w:val="0"/>
          <w:numId w:val="29"/>
        </w:numPr>
        <w:bidi w:val="0"/>
        <w:ind w:left="0" w:leftChars="0" w:firstLine="0" w:firstLineChars="0"/>
        <w:rPr>
          <w:rFonts w:hint="default"/>
          <w:lang w:val="en-US" w:eastAsia="zh-CN"/>
        </w:rPr>
      </w:pPr>
      <w:r>
        <w:rPr>
          <w:rFonts w:hint="default"/>
          <w:lang w:val="en-US" w:eastAsia="zh-CN"/>
        </w:rPr>
        <w:t>防范措施</w:t>
      </w:r>
    </w:p>
    <w:p w14:paraId="7365E58C">
      <w:pPr>
        <w:keepNext w:val="0"/>
        <w:keepLines w:val="0"/>
        <w:widowControl/>
        <w:suppressLineNumbers w:val="0"/>
        <w:jc w:val="left"/>
      </w:pPr>
      <w:bookmarkStart w:id="61" w:name="_Toc2881"/>
      <w:r>
        <w:rPr>
          <w:rFonts w:ascii="宋体" w:hAnsi="宋体" w:eastAsia="宋体" w:cs="宋体"/>
          <w:kern w:val="0"/>
          <w:sz w:val="24"/>
          <w:szCs w:val="24"/>
          <w:lang w:val="en-US" w:eastAsia="zh-CN" w:bidi="ar"/>
        </w:rPr>
        <w:t>针对技术风险，从研发迭代、知识产权保护、产品测试与软件优化四个维度制定防范措施，构建全流程技术防控体系。研发层面，严格落实前文战略支撑中的研发投入要求，确保研发投入占营业收入的20%以上，组建由PLC控制、软件研发、机械设计等领域专业人才构成的研发团队，同时深化与高校、科研机构的合作，共建研发平台，聚焦PLC多轴协同算法、智能视觉检测等核心技术，加快技术迭代速度，确保算法性能持续适配市场需求。</w:t>
      </w:r>
    </w:p>
    <w:p w14:paraId="580BBAD9">
      <w:pPr>
        <w:keepNext w:val="0"/>
        <w:keepLines w:val="0"/>
        <w:widowControl/>
        <w:suppressLineNumbers w:val="0"/>
        <w:jc w:val="left"/>
      </w:pPr>
      <w:r>
        <w:rPr>
          <w:rFonts w:ascii="宋体" w:hAnsi="宋体" w:eastAsia="宋体" w:cs="宋体"/>
          <w:kern w:val="0"/>
          <w:sz w:val="24"/>
          <w:szCs w:val="24"/>
          <w:lang w:val="en-US" w:eastAsia="zh-CN" w:bidi="ar"/>
        </w:rPr>
        <w:t>知识产权保护层面，对PLC控制算法、凸轮点位动态计算技术等核心技术，及时申请发明专利、实用新型专利，对软件系统申请软件著作权，构建完整的知识产权壁垒；同时建立知识产权监测机制，密切跟踪同行技术动态，若发现抄袭、侵权行为，及时采取法律手段维护企业权益。产品测试层面，完善产品测试体系，严格遵循前文4.1节系统调试流程，设备上市前经过多轮高速生产测试、稳定性测试与环境适配测试，重点验证高速场景下的多轴同步性，确保产品性能达标、质量稳定；建立产品售后测试反馈机制，根据客户使用过程中发现的性能问题，及时优化产品设计与技术参数。</w:t>
      </w:r>
    </w:p>
    <w:p w14:paraId="5B95CA82">
      <w:pPr>
        <w:keepNext w:val="0"/>
        <w:keepLines w:val="0"/>
        <w:widowControl/>
        <w:suppressLineNumbers w:val="0"/>
        <w:jc w:val="left"/>
      </w:pPr>
      <w:r>
        <w:rPr>
          <w:rFonts w:ascii="宋体" w:hAnsi="宋体" w:eastAsia="宋体" w:cs="宋体"/>
          <w:kern w:val="0"/>
          <w:sz w:val="24"/>
          <w:szCs w:val="24"/>
          <w:lang w:val="en-US" w:eastAsia="zh-CN" w:bidi="ar"/>
        </w:rPr>
        <w:t>软件优化层面，组建专业软件运维团队，定期对软件系统进行漏洞扫描与排查，及时发布软件更新补丁，修复安全漏洞、优化运行逻辑；建立数据备份机制，采用本地备份与云端同步双重方式，存储生产参数、故障日志等核心数据，防止数据丢失；同时优化软件应急响应机制，若出现程序崩溃等问题，可快速启动备用程序，降低客户生产损失。</w:t>
      </w:r>
    </w:p>
    <w:p w14:paraId="305A0435">
      <w:pPr>
        <w:pStyle w:val="3"/>
        <w:numPr>
          <w:ilvl w:val="0"/>
          <w:numId w:val="28"/>
        </w:numPr>
        <w:bidi w:val="0"/>
        <w:ind w:left="0" w:leftChars="0" w:firstLine="0" w:firstLineChars="0"/>
        <w:rPr>
          <w:rFonts w:hint="default"/>
          <w:lang w:val="en-US" w:eastAsia="zh-CN"/>
        </w:rPr>
      </w:pPr>
      <w:bookmarkStart w:id="62" w:name="_Toc15356"/>
      <w:r>
        <w:rPr>
          <w:rFonts w:hint="default"/>
          <w:lang w:val="en-US" w:eastAsia="zh-CN"/>
        </w:rPr>
        <w:t>市场风险</w:t>
      </w:r>
      <w:bookmarkEnd w:id="61"/>
      <w:bookmarkEnd w:id="62"/>
    </w:p>
    <w:p w14:paraId="0D11C2CA">
      <w:pPr>
        <w:pStyle w:val="4"/>
        <w:numPr>
          <w:ilvl w:val="0"/>
          <w:numId w:val="30"/>
        </w:numPr>
        <w:bidi w:val="0"/>
        <w:ind w:left="0" w:leftChars="0" w:firstLine="0" w:firstLineChars="0"/>
        <w:rPr>
          <w:rFonts w:hint="eastAsia"/>
          <w:lang w:val="en-US" w:eastAsia="zh-CN"/>
        </w:rPr>
      </w:pPr>
      <w:r>
        <w:rPr>
          <w:rFonts w:hint="eastAsia"/>
          <w:lang w:val="en-US" w:eastAsia="zh-CN"/>
        </w:rPr>
        <w:t>风险描述</w:t>
      </w:r>
    </w:p>
    <w:p w14:paraId="428A9EA4">
      <w:pPr>
        <w:keepNext w:val="0"/>
        <w:keepLines w:val="0"/>
        <w:widowControl/>
        <w:suppressLineNumbers w:val="0"/>
        <w:jc w:val="left"/>
      </w:pPr>
      <w:r>
        <w:rPr>
          <w:rFonts w:ascii="宋体" w:hAnsi="宋体" w:eastAsia="宋体" w:cs="宋体"/>
          <w:kern w:val="0"/>
          <w:sz w:val="24"/>
          <w:szCs w:val="24"/>
          <w:lang w:val="en-US" w:eastAsia="zh-CN" w:bidi="ar"/>
        </w:rPr>
        <w:t>市场风险主要源于市场需求波动、行业竞争加剧与市场推广受阻三个方面，直接影响企业营收与战略落地。其一，受公共卫生环境变化、口罩产能调控等因素影响，若N95口罩市场需求增长不及预期，或出现产能过剩情况，将导致客户设备采购需求下降，影响企业产品销量与营收目标实现；其二，随着N95口罩自动化生产设备市场潜力释放，可能有更多企业进入该领域，推出同类高性价比产品，引发价格战，压缩企业利润空间，同时分流核心客户；其三，部分客户受传统生产模式依赖、对新产品技术可靠性存疑等因素影响，对本项目产品接受度较低，导致市场推广进度受阻，难以快速实现市场渗透，影响阶段性销量目标。</w:t>
      </w:r>
    </w:p>
    <w:p w14:paraId="6D24D25D">
      <w:pPr>
        <w:pStyle w:val="4"/>
        <w:numPr>
          <w:ilvl w:val="0"/>
          <w:numId w:val="30"/>
        </w:numPr>
        <w:bidi w:val="0"/>
        <w:ind w:left="0" w:leftChars="0" w:firstLine="0" w:firstLineChars="0"/>
        <w:rPr>
          <w:rFonts w:hint="default"/>
          <w:lang w:val="en-US" w:eastAsia="zh-CN"/>
        </w:rPr>
      </w:pPr>
      <w:r>
        <w:rPr>
          <w:rFonts w:hint="default"/>
          <w:lang w:val="en-US" w:eastAsia="zh-CN"/>
        </w:rPr>
        <w:t>防范措施</w:t>
      </w:r>
    </w:p>
    <w:p w14:paraId="7A84BEE4">
      <w:pPr>
        <w:keepNext w:val="0"/>
        <w:keepLines w:val="0"/>
        <w:widowControl/>
        <w:suppressLineNumbers w:val="0"/>
        <w:jc w:val="left"/>
      </w:pPr>
      <w:bookmarkStart w:id="63" w:name="_Toc25132"/>
      <w:r>
        <w:rPr>
          <w:rFonts w:ascii="宋体" w:hAnsi="宋体" w:eastAsia="宋体" w:cs="宋体"/>
          <w:kern w:val="0"/>
          <w:sz w:val="24"/>
          <w:szCs w:val="24"/>
          <w:lang w:val="en-US" w:eastAsia="zh-CN" w:bidi="ar"/>
        </w:rPr>
        <w:t>针对市场风险，从市场调研、市场拓展、差异化竞争与市场推广四个维度制定防范措施，降低市场波动与竞争带来的影响。市场调研层面，建立常态化市场调研机制，密切跟踪行业动态、市场需求变化与竞争对手情况，及时调整产品策略与定价策略，适配市场需求波动；同时预判口罩产能变化趋势，提前布局多场景、多品类适配，降低单一市场需求波动的影响。</w:t>
      </w:r>
    </w:p>
    <w:p w14:paraId="7851DAC1">
      <w:pPr>
        <w:keepNext w:val="0"/>
        <w:keepLines w:val="0"/>
        <w:widowControl/>
        <w:suppressLineNumbers w:val="0"/>
        <w:jc w:val="left"/>
      </w:pPr>
      <w:r>
        <w:rPr>
          <w:rFonts w:ascii="宋体" w:hAnsi="宋体" w:eastAsia="宋体" w:cs="宋体"/>
          <w:kern w:val="0"/>
          <w:sz w:val="24"/>
          <w:szCs w:val="24"/>
          <w:lang w:val="en-US" w:eastAsia="zh-CN" w:bidi="ar"/>
        </w:rPr>
        <w:t>市场拓展层面，落实前文未来展望与发展战略中的市场布局规划，在巩固国内长三角、珠三角等核心市场的基础上，加快拓展东南亚、欧洲等海外医疗防护需求旺盛的区域，搭建海外销售与服务体系，同时拓展KN95、KF94等同类防护口罩生产设备的应用场景，降低单一N95口罩设备市场的依赖，实现市场多元化布局。差异化竞争层面，持续强化产品差异化优势，通过技术创新优化产品性能、提升生产效率与产品精度，通过服务升级完善配套服务体系，打造“技术+服务”的差异化竞争力，避免陷入价格战；同时优化产品分层定价策略，适配不同规模客户的预算需求，提升产品市场适配性。</w:t>
      </w:r>
    </w:p>
    <w:p w14:paraId="2BE459C9">
      <w:pPr>
        <w:keepNext w:val="0"/>
        <w:keepLines w:val="0"/>
        <w:widowControl/>
        <w:suppressLineNumbers w:val="0"/>
        <w:jc w:val="left"/>
      </w:pPr>
      <w:r>
        <w:rPr>
          <w:rFonts w:ascii="宋体" w:hAnsi="宋体" w:eastAsia="宋体" w:cs="宋体"/>
          <w:kern w:val="0"/>
          <w:sz w:val="24"/>
          <w:szCs w:val="24"/>
          <w:lang w:val="en-US" w:eastAsia="zh-CN" w:bidi="ar"/>
        </w:rPr>
        <w:t>市场推广层面，推出客户试用政策，针对重点客户提供短期免费试用服务，让客户直观感受产品的技术优势与生产效益，降低客户决策门槛；同时加强品牌宣传，通过行业展会、技术交流会、电商平台推广等多种方式，展示产品性能、应用案例与核心优势，提升品牌知名度与认可度；深化与经销商、行业协会的合作，借助其渠道资源，加快市场渗透，提升产品销量。</w:t>
      </w:r>
    </w:p>
    <w:p w14:paraId="1E8E8233">
      <w:pPr>
        <w:pStyle w:val="3"/>
        <w:numPr>
          <w:ilvl w:val="0"/>
          <w:numId w:val="28"/>
        </w:numPr>
        <w:bidi w:val="0"/>
        <w:ind w:left="0" w:leftChars="0" w:firstLine="0" w:firstLineChars="0"/>
        <w:rPr>
          <w:rFonts w:hint="default"/>
          <w:lang w:val="en-US" w:eastAsia="zh-CN"/>
        </w:rPr>
      </w:pPr>
      <w:bookmarkStart w:id="64" w:name="_Toc7066"/>
      <w:r>
        <w:rPr>
          <w:rFonts w:hint="default"/>
          <w:lang w:val="en-US" w:eastAsia="zh-CN"/>
        </w:rPr>
        <w:t>供应链风险</w:t>
      </w:r>
      <w:bookmarkEnd w:id="63"/>
      <w:bookmarkEnd w:id="64"/>
    </w:p>
    <w:p w14:paraId="1AD58FF0">
      <w:pPr>
        <w:pStyle w:val="4"/>
        <w:numPr>
          <w:ilvl w:val="0"/>
          <w:numId w:val="31"/>
        </w:numPr>
        <w:bidi w:val="0"/>
        <w:ind w:left="0" w:leftChars="0" w:firstLine="0" w:firstLineChars="0"/>
        <w:rPr>
          <w:rFonts w:hint="eastAsia"/>
          <w:lang w:val="en-US" w:eastAsia="zh-CN"/>
        </w:rPr>
      </w:pPr>
      <w:r>
        <w:rPr>
          <w:rFonts w:hint="eastAsia"/>
          <w:lang w:val="en-US" w:eastAsia="zh-CN"/>
        </w:rPr>
        <w:t>风险描述</w:t>
      </w:r>
    </w:p>
    <w:p w14:paraId="5F0A93A7">
      <w:pPr>
        <w:keepNext w:val="0"/>
        <w:keepLines w:val="0"/>
        <w:widowControl/>
        <w:suppressLineNumbers w:val="0"/>
        <w:jc w:val="left"/>
      </w:pPr>
      <w:r>
        <w:rPr>
          <w:rFonts w:ascii="宋体" w:hAnsi="宋体" w:eastAsia="宋体" w:cs="宋体"/>
          <w:kern w:val="0"/>
          <w:sz w:val="24"/>
          <w:szCs w:val="24"/>
          <w:lang w:val="en-US" w:eastAsia="zh-CN" w:bidi="ar"/>
        </w:rPr>
        <w:t>供应链风险主要集中在核心零部件供应、价格波动与质量管控三个方面，直接影响设备生产交付与产品质量。其一，本项目设备核心零部件（如PLC、伺服驱动器）依赖特定供应商，若供应商出现产能不足、生产故障或战略调整等情况，将导致核心零部件供应延迟，影响设备生产进度与交付周期，无法按时满足客户订单需求；同时，受原材料价格上涨、市场供需变化等因素影响，核心零部件供应商可能提高产品价格，增加企业生产成本；其二，受疫情、物流中断、地缘政治等不可抗力因素影响，可能出现供应链断裂，导致核心零部件无法按时到货，严重影响企业正常生产运营；其三，若核心零部件供应商未严格把控产品质量，提供的零部件存在性能缺陷，将导致设备故障率上升，影响产品质量与品牌声誉，增加售后服务成本。</w:t>
      </w:r>
    </w:p>
    <w:p w14:paraId="71584E68">
      <w:pPr>
        <w:pStyle w:val="4"/>
        <w:numPr>
          <w:ilvl w:val="0"/>
          <w:numId w:val="31"/>
        </w:numPr>
        <w:bidi w:val="0"/>
        <w:ind w:left="0" w:leftChars="0" w:firstLine="0" w:firstLineChars="0"/>
        <w:rPr>
          <w:rFonts w:hint="default"/>
          <w:lang w:val="en-US" w:eastAsia="zh-CN"/>
        </w:rPr>
      </w:pPr>
      <w:r>
        <w:rPr>
          <w:rFonts w:hint="default"/>
          <w:lang w:val="en-US" w:eastAsia="zh-CN"/>
        </w:rPr>
        <w:t>防范措施</w:t>
      </w:r>
    </w:p>
    <w:p w14:paraId="7BE62B38">
      <w:pPr>
        <w:keepNext w:val="0"/>
        <w:keepLines w:val="0"/>
        <w:widowControl/>
        <w:suppressLineNumbers w:val="0"/>
        <w:jc w:val="left"/>
      </w:pPr>
      <w:bookmarkStart w:id="65" w:name="_Toc3317"/>
      <w:r>
        <w:rPr>
          <w:rFonts w:ascii="宋体" w:hAnsi="宋体" w:eastAsia="宋体" w:cs="宋体"/>
          <w:kern w:val="0"/>
          <w:sz w:val="24"/>
          <w:szCs w:val="24"/>
          <w:lang w:val="en-US" w:eastAsia="zh-CN" w:bidi="ar"/>
        </w:rPr>
        <w:t>针对供应链风险，从供应链多元化、供应商管理、库存保障三个维度制定防范措施，确保供应链稳定、高效、可控。供应链多元化层面，打破单一供应商依赖，建立多元化供应链体系，为PLC、伺服驱动器等核心零部件筛选2-3家优质核心供应商，签订长期合作协议，明确价格、产能与交付周期，锁定核心资源；同时储备1-2家备选供应商，定期开展备选供应商资质评估，确保在核心供应商出现异常时，可快速切换供应商，避免供应链中断。</w:t>
      </w:r>
    </w:p>
    <w:p w14:paraId="2CB9C296">
      <w:pPr>
        <w:keepNext w:val="0"/>
        <w:keepLines w:val="0"/>
        <w:widowControl/>
        <w:suppressLineNumbers w:val="0"/>
        <w:jc w:val="left"/>
      </w:pPr>
      <w:r>
        <w:rPr>
          <w:rFonts w:ascii="宋体" w:hAnsi="宋体" w:eastAsia="宋体" w:cs="宋体"/>
          <w:kern w:val="0"/>
          <w:sz w:val="24"/>
          <w:szCs w:val="24"/>
          <w:lang w:val="en-US" w:eastAsia="zh-CN" w:bidi="ar"/>
        </w:rPr>
        <w:t>供应商管理层面，建立完善的供应商评级体系，从产能、质量、交付能力、售后服务等多个维度，定期对核心供应商与备选供应商进行评估，淘汰资质不达标的供应商；深化与核心供应商的合作，共建联合库存机制，提前储备一定数量的核心零部件，应对供需波动与物流中断等突发情况；同时建立供应商沟通机制，及时了解供应商生产运营状况与产品价格变化趋势，提前做好应对预案，降低价格波动带来的成本压力。</w:t>
      </w:r>
    </w:p>
    <w:p w14:paraId="392E9785">
      <w:pPr>
        <w:keepNext w:val="0"/>
        <w:keepLines w:val="0"/>
        <w:widowControl/>
        <w:suppressLineNumbers w:val="0"/>
        <w:jc w:val="left"/>
      </w:pPr>
      <w:r>
        <w:rPr>
          <w:rFonts w:ascii="宋体" w:hAnsi="宋体" w:eastAsia="宋体" w:cs="宋体"/>
          <w:kern w:val="0"/>
          <w:sz w:val="24"/>
          <w:szCs w:val="24"/>
          <w:lang w:val="en-US" w:eastAsia="zh-CN" w:bidi="ar"/>
        </w:rPr>
        <w:t>质量管控层面，建立零部件入库检验机制，对采购的核心零部件进行严格的性能测试与质量检测，不合格零部件坚决不予入库；同时派驻技术人员对接核心供应商，监督零部件生产过程，确保零部件质量符合产品设计要求；定期开展供应商质量培训，提升供应商质量管控水平，降低零部件质量缺陷带来的风险。</w:t>
      </w:r>
    </w:p>
    <w:p w14:paraId="17DC1B4A">
      <w:pPr>
        <w:pStyle w:val="3"/>
        <w:numPr>
          <w:ilvl w:val="0"/>
          <w:numId w:val="28"/>
        </w:numPr>
        <w:bidi w:val="0"/>
        <w:ind w:left="0" w:leftChars="0" w:firstLine="0" w:firstLineChars="0"/>
        <w:rPr>
          <w:rFonts w:hint="default"/>
          <w:lang w:val="en-US" w:eastAsia="zh-CN"/>
        </w:rPr>
      </w:pPr>
      <w:bookmarkStart w:id="66" w:name="_Toc20156"/>
      <w:r>
        <w:rPr>
          <w:rFonts w:hint="default"/>
          <w:lang w:val="en-US" w:eastAsia="zh-CN"/>
        </w:rPr>
        <w:t>运营风险</w:t>
      </w:r>
      <w:bookmarkEnd w:id="65"/>
      <w:bookmarkEnd w:id="66"/>
    </w:p>
    <w:p w14:paraId="7015A79D">
      <w:pPr>
        <w:pStyle w:val="4"/>
        <w:numPr>
          <w:ilvl w:val="0"/>
          <w:numId w:val="32"/>
        </w:numPr>
        <w:bidi w:val="0"/>
        <w:ind w:left="0" w:leftChars="0" w:firstLine="0" w:firstLineChars="0"/>
        <w:rPr>
          <w:rFonts w:hint="eastAsia"/>
          <w:lang w:val="en-US" w:eastAsia="zh-CN"/>
        </w:rPr>
      </w:pPr>
      <w:r>
        <w:rPr>
          <w:rFonts w:hint="eastAsia"/>
          <w:lang w:val="en-US" w:eastAsia="zh-CN"/>
        </w:rPr>
        <w:t>风险描述</w:t>
      </w:r>
    </w:p>
    <w:p w14:paraId="09D75137">
      <w:pPr>
        <w:keepNext w:val="0"/>
        <w:keepLines w:val="0"/>
        <w:widowControl/>
        <w:suppressLineNumbers w:val="0"/>
        <w:jc w:val="left"/>
      </w:pPr>
      <w:r>
        <w:rPr>
          <w:rFonts w:ascii="宋体" w:hAnsi="宋体" w:eastAsia="宋体" w:cs="宋体"/>
          <w:kern w:val="0"/>
          <w:sz w:val="24"/>
          <w:szCs w:val="24"/>
          <w:lang w:val="en-US" w:eastAsia="zh-CN" w:bidi="ar"/>
        </w:rPr>
        <w:t>运营风险主要涉及产品质量、售后服务与核心人才三个核心环节，影响企业品牌声誉与长期发展。其一，随着产品销量提升，设备进入量产阶段，若生产过程中质量管控不到位，可能出现产品质量参差不齐、核心性能不达标等问题，导致客户投诉增加，损害企业品牌声誉，影响客户复购率与市场口碑；其二，若售后服务网络不完善、售后团队专业能力不足，将导致售后服务响应不及时，无法快速解决客户设备故障问题，增加客户生产损失，提高客户投诉率，降低客户满意度；其三，核心技术人才与市场人才是企业发展的核心竞争力，若出现核心技术人才流失，将影响核心技术研发进度与产品迭代速度，若核心市场人才流失，将影响市场拓展与客户维护，阻碍公司发展战略落地。</w:t>
      </w:r>
    </w:p>
    <w:p w14:paraId="02A6BD84">
      <w:pPr>
        <w:pStyle w:val="4"/>
        <w:numPr>
          <w:ilvl w:val="0"/>
          <w:numId w:val="32"/>
        </w:numPr>
        <w:bidi w:val="0"/>
        <w:ind w:left="0" w:leftChars="0" w:firstLine="0" w:firstLineChars="0"/>
        <w:rPr>
          <w:rFonts w:hint="default"/>
          <w:lang w:val="en-US" w:eastAsia="zh-CN"/>
        </w:rPr>
      </w:pPr>
      <w:r>
        <w:rPr>
          <w:rFonts w:hint="default"/>
          <w:lang w:val="en-US" w:eastAsia="zh-CN"/>
        </w:rPr>
        <w:t>防范措施</w:t>
      </w:r>
    </w:p>
    <w:p w14:paraId="51EE5E1E">
      <w:pPr>
        <w:keepNext w:val="0"/>
        <w:keepLines w:val="0"/>
        <w:widowControl/>
        <w:suppressLineNumbers w:val="0"/>
        <w:jc w:val="left"/>
      </w:pPr>
      <w:bookmarkStart w:id="67" w:name="_Toc26415"/>
      <w:r>
        <w:rPr>
          <w:rFonts w:ascii="宋体" w:hAnsi="宋体" w:eastAsia="宋体" w:cs="宋体"/>
          <w:kern w:val="0"/>
          <w:sz w:val="24"/>
          <w:szCs w:val="24"/>
          <w:lang w:val="en-US" w:eastAsia="zh-CN" w:bidi="ar"/>
        </w:rPr>
        <w:t>针对运营风险，从质量管控、售后服务、人才激励三个维度制定防范措施，保障企业运营稳定有序。质量管控层面，建立严格的全流程质量控制体系，覆盖原材料采购、生产加工、成品检验、出厂测试等各个环节，明确各环节质量管控标准与责任分工；量产过程中，加强生产现场管理，规范生产流程，定期开展生产设备维护与校准，确保生产精度；成品出厂前，严格执行72小时满负荷运行测试，确保产品质量达标，杜绝不合格产品流入市场。</w:t>
      </w:r>
    </w:p>
    <w:p w14:paraId="5A6D9D05">
      <w:pPr>
        <w:keepNext w:val="0"/>
        <w:keepLines w:val="0"/>
        <w:widowControl/>
        <w:suppressLineNumbers w:val="0"/>
        <w:jc w:val="left"/>
      </w:pPr>
      <w:r>
        <w:rPr>
          <w:rFonts w:ascii="宋体" w:hAnsi="宋体" w:eastAsia="宋体" w:cs="宋体"/>
          <w:kern w:val="0"/>
          <w:sz w:val="24"/>
          <w:szCs w:val="24"/>
          <w:lang w:val="en-US" w:eastAsia="zh-CN" w:bidi="ar"/>
        </w:rPr>
        <w:t>售后服务层面，落实前文配套服务体系与战略支撑中的服务要求，完善全国性售后服务网络，在长三角、珠三角、成渝等核心区域设立服务网点，配备专业售后技术人员与维修设备；加强售后团队培训，提升售后人员的专业能力与应急处理能力，确保能够快速排查与解决设备故障；建立客户反馈快速响应机制，通过电话、微信、视频等多种方式，确保客户诉求24小时内响应、48小时内解决，将客户投诉率严格控制在1%以下；定期开展客户回访活动，了解客户使用体验，及时优化产品与服务，提升客户满意度与粘性。</w:t>
      </w:r>
    </w:p>
    <w:p w14:paraId="4B758127">
      <w:pPr>
        <w:keepNext w:val="0"/>
        <w:keepLines w:val="0"/>
        <w:widowControl/>
        <w:suppressLineNumbers w:val="0"/>
        <w:jc w:val="left"/>
      </w:pPr>
      <w:r>
        <w:rPr>
          <w:rFonts w:ascii="宋体" w:hAnsi="宋体" w:eastAsia="宋体" w:cs="宋体"/>
          <w:kern w:val="0"/>
          <w:sz w:val="24"/>
          <w:szCs w:val="24"/>
          <w:lang w:val="en-US" w:eastAsia="zh-CN" w:bidi="ar"/>
        </w:rPr>
        <w:t>人才激励层面，完善核心人才激励机制，针对核心技术人才与市场人才，提供股权激励、技术分红、绩效奖金等多元化福利，提升核心人才的薪酬待遇与职业归属感；建立完善的职业发展体系，为核心人才提供晋升通道、培训机会与研发资源，助力核心人才实现个人成长；建立企业技术知识库，将核心技术、研发经验、调试方法等整理归档，避免因核心人才流失导致研发中断、技术失传；同时营造良好的企业文化，增强企业凝聚力，吸引并留存核心人才。</w:t>
      </w:r>
    </w:p>
    <w:p w14:paraId="776BC7EC">
      <w:pPr>
        <w:pStyle w:val="3"/>
        <w:numPr>
          <w:ilvl w:val="0"/>
          <w:numId w:val="28"/>
        </w:numPr>
        <w:bidi w:val="0"/>
        <w:ind w:left="0" w:leftChars="0" w:firstLine="0" w:firstLineChars="0"/>
        <w:rPr>
          <w:rFonts w:hint="default"/>
          <w:lang w:val="en-US" w:eastAsia="zh-CN"/>
        </w:rPr>
      </w:pPr>
      <w:bookmarkStart w:id="68" w:name="_Toc9431"/>
      <w:r>
        <w:rPr>
          <w:rFonts w:hint="default"/>
          <w:lang w:val="en-US" w:eastAsia="zh-CN"/>
        </w:rPr>
        <w:t>政策与合规风险</w:t>
      </w:r>
      <w:bookmarkEnd w:id="67"/>
      <w:bookmarkEnd w:id="68"/>
    </w:p>
    <w:p w14:paraId="09FF00F5">
      <w:pPr>
        <w:pStyle w:val="4"/>
        <w:numPr>
          <w:ilvl w:val="0"/>
          <w:numId w:val="33"/>
        </w:numPr>
        <w:bidi w:val="0"/>
        <w:ind w:left="0" w:leftChars="0" w:firstLine="0" w:firstLineChars="0"/>
        <w:rPr>
          <w:rFonts w:hint="eastAsia"/>
          <w:lang w:val="en-US" w:eastAsia="zh-CN"/>
        </w:rPr>
      </w:pPr>
      <w:r>
        <w:rPr>
          <w:rFonts w:hint="eastAsia"/>
          <w:lang w:val="en-US" w:eastAsia="zh-CN"/>
        </w:rPr>
        <w:t>风险描述</w:t>
      </w:r>
    </w:p>
    <w:p w14:paraId="2B3144F1">
      <w:pPr>
        <w:keepNext w:val="0"/>
        <w:keepLines w:val="0"/>
        <w:widowControl/>
        <w:suppressLineNumbers w:val="0"/>
        <w:jc w:val="left"/>
      </w:pPr>
      <w:r>
        <w:rPr>
          <w:rFonts w:ascii="宋体" w:hAnsi="宋体" w:eastAsia="宋体" w:cs="宋体"/>
          <w:kern w:val="0"/>
          <w:sz w:val="24"/>
          <w:szCs w:val="24"/>
          <w:lang w:val="en-US" w:eastAsia="zh-CN" w:bidi="ar"/>
        </w:rPr>
        <w:t>政策与合规风险主要源于行业监管、环保法规与数据安全政策的变化，影响企业产品合规性与正常运营。其一，N95口罩属于医疗防护用品，其生产设备归属于医疗器械相关配套设备，若医疗器械行业监管政策升级，出台新的生产标准、准入要求或检测规范，而企业产品未及时适配调整，将导致设备不符合合规要求，无法正常销售与使用；其二，随着国家绿色发展战略推进，环保法规持续收紧，若设备能耗、碳排放未达到新的环保标准，将面临整改、处罚等风险，影响企业生产运营；其三，随着数据安全、隐私保护相关法律法规的完善，若设备远程监控、数据传输与存储环节不符合数据安全政策要求，可能出现数据泄露、违规使用等问题，面临法律责任，同时影响客户信任。</w:t>
      </w:r>
    </w:p>
    <w:p w14:paraId="772DCA84">
      <w:pPr>
        <w:pStyle w:val="4"/>
        <w:numPr>
          <w:ilvl w:val="0"/>
          <w:numId w:val="33"/>
        </w:numPr>
        <w:bidi w:val="0"/>
        <w:ind w:left="0" w:leftChars="0" w:firstLine="0" w:firstLineChars="0"/>
        <w:rPr>
          <w:rFonts w:hint="default"/>
          <w:lang w:val="en-US" w:eastAsia="zh-CN"/>
        </w:rPr>
      </w:pPr>
      <w:r>
        <w:rPr>
          <w:rFonts w:hint="default"/>
          <w:lang w:val="en-US" w:eastAsia="zh-CN"/>
        </w:rPr>
        <w:t>防范措施</w:t>
      </w:r>
    </w:p>
    <w:p w14:paraId="448F5147">
      <w:pPr>
        <w:keepNext w:val="0"/>
        <w:keepLines w:val="0"/>
        <w:widowControl/>
        <w:suppressLineNumbers w:val="0"/>
        <w:jc w:val="left"/>
      </w:pPr>
      <w:bookmarkStart w:id="69" w:name="_Toc19759"/>
      <w:r>
        <w:rPr>
          <w:rFonts w:ascii="宋体" w:hAnsi="宋体" w:eastAsia="宋体" w:cs="宋体"/>
          <w:kern w:val="0"/>
          <w:sz w:val="24"/>
          <w:szCs w:val="24"/>
          <w:lang w:val="en-US" w:eastAsia="zh-CN" w:bidi="ar"/>
        </w:rPr>
        <w:t>针对政策与合规风险，从政策跟踪、技术适配、合规管理三个维度制定防范措施，确保企业运营符合各项政策法规要求。政策跟踪层面，建立专业的政策研究团队，密切关注国家及地方关于医疗器械行业监管、环保法规、数据安全等相关政策的变化趋势，及时解读政策要求，提前布局产品技术升级与合规调整，确保产品持续符合政策规范；同时积极参与行业标准制定，加强与行业协会、监管部门的沟通对接，争取行业话语权，提前预判政策调整方向。</w:t>
      </w:r>
    </w:p>
    <w:p w14:paraId="37102631">
      <w:pPr>
        <w:keepNext w:val="0"/>
        <w:keepLines w:val="0"/>
        <w:widowControl/>
        <w:suppressLineNumbers w:val="0"/>
        <w:jc w:val="left"/>
      </w:pPr>
      <w:r>
        <w:rPr>
          <w:rFonts w:ascii="宋体" w:hAnsi="宋体" w:eastAsia="宋体" w:cs="宋体"/>
          <w:kern w:val="0"/>
          <w:sz w:val="24"/>
          <w:szCs w:val="24"/>
          <w:lang w:val="en-US" w:eastAsia="zh-CN" w:bidi="ar"/>
        </w:rPr>
        <w:t>技术适配层面，针对环保法规收紧趋势，优化设备设计与生产工艺，降低设备能耗与碳排放，积极申请绿色产品认证，契合国家绿色发展要求；针对医疗器械行业监管政策升级，及时调整产品设计、生产标准与检测流程，确保设备符合新的准入要求与生产标准；针对数据安全政策要求，完善设备远程监控与数据管理系统，建立数据加密、存储、传输与销毁的全流程管控机制，严格获取客户授权后使用相关数据，杜绝数据违规收集与使用。</w:t>
      </w:r>
    </w:p>
    <w:p w14:paraId="1F74C512">
      <w:pPr>
        <w:keepNext w:val="0"/>
        <w:keepLines w:val="0"/>
        <w:widowControl/>
        <w:suppressLineNumbers w:val="0"/>
        <w:jc w:val="left"/>
        <w:rPr>
          <w:rFonts w:hint="default"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合规管理层面，建立完善的企业合规管理体系，明确合规管理责任，加强全体员工的合规培训，提升员工合规意识；定期开展合规自查与审计，重点排查产品合规性、环保合规性与数据安全合规性，及时发现并整改合规风险点；聘请专业合规顾问，为企业合规运营提供专业指导，防范法律风险；同时留存合规相关记录与证明材料，确保企业运营全程可追溯、可核查。</w:t>
      </w:r>
    </w:p>
    <w:p w14:paraId="07632B84">
      <w:pPr>
        <w:pStyle w:val="2"/>
        <w:bidi w:val="0"/>
        <w:rPr>
          <w:rFonts w:hint="default"/>
          <w:lang w:val="en-US" w:eastAsia="zh-CN"/>
        </w:rPr>
      </w:pPr>
      <w:bookmarkStart w:id="70" w:name="_Toc25525"/>
      <w:r>
        <w:rPr>
          <w:rFonts w:hint="default"/>
          <w:lang w:val="en-US" w:eastAsia="zh-CN"/>
        </w:rPr>
        <w:t>资本退出</w:t>
      </w:r>
      <w:bookmarkEnd w:id="69"/>
      <w:bookmarkEnd w:id="70"/>
    </w:p>
    <w:p w14:paraId="6BB5EFBF">
      <w:pPr>
        <w:pStyle w:val="3"/>
        <w:numPr>
          <w:ilvl w:val="0"/>
          <w:numId w:val="34"/>
        </w:numPr>
        <w:bidi w:val="0"/>
        <w:ind w:left="0" w:leftChars="0" w:firstLine="0" w:firstLineChars="0"/>
        <w:rPr>
          <w:rFonts w:hint="default"/>
          <w:lang w:val="en-US" w:eastAsia="zh-CN"/>
        </w:rPr>
      </w:pPr>
      <w:bookmarkStart w:id="71" w:name="_Toc28632"/>
      <w:bookmarkStart w:id="72" w:name="_Toc29821"/>
      <w:r>
        <w:rPr>
          <w:rFonts w:hint="default"/>
          <w:lang w:val="en-US" w:eastAsia="zh-CN"/>
        </w:rPr>
        <w:t>退出原则</w:t>
      </w:r>
      <w:bookmarkEnd w:id="71"/>
      <w:bookmarkEnd w:id="72"/>
    </w:p>
    <w:p w14:paraId="7729763E">
      <w:pPr>
        <w:keepNext w:val="0"/>
        <w:keepLines w:val="0"/>
        <w:widowControl/>
        <w:suppressLineNumbers w:val="0"/>
        <w:jc w:val="left"/>
      </w:pPr>
      <w:bookmarkStart w:id="73" w:name="_Toc12754"/>
      <w:r>
        <w:rPr>
          <w:rFonts w:ascii="宋体" w:hAnsi="宋体" w:eastAsia="宋体" w:cs="宋体"/>
          <w:kern w:val="0"/>
          <w:sz w:val="24"/>
          <w:szCs w:val="24"/>
          <w:lang w:val="en-US" w:eastAsia="zh-CN" w:bidi="ar"/>
        </w:rPr>
        <w:t>资本退出始终以保障投资者利益最大化为核心原则，结合公司5年发展战略目标，科学研判资本市场环境与行业发展趋势，合理规划退出时机、退出方式与退出节奏，确保投资者获得稳定可观的投资回报，实现资本的高效循环。同时，严格兼顾公司长远发展与员工合法权益，坚决避免短期投机性退出行为损害公司核心技术壁垒、市场布局与团队稳定性，保障公司战略目标的持续推进。</w:t>
      </w:r>
    </w:p>
    <w:p w14:paraId="2621D14B">
      <w:pPr>
        <w:keepNext w:val="0"/>
        <w:keepLines w:val="0"/>
        <w:widowControl/>
        <w:suppressLineNumbers w:val="0"/>
        <w:jc w:val="left"/>
      </w:pPr>
      <w:r>
        <w:rPr>
          <w:rFonts w:ascii="宋体" w:hAnsi="宋体" w:eastAsia="宋体" w:cs="宋体"/>
          <w:kern w:val="0"/>
          <w:sz w:val="24"/>
          <w:szCs w:val="24"/>
          <w:lang w:val="en-US" w:eastAsia="zh-CN" w:bidi="ar"/>
        </w:rPr>
        <w:t>所有退出流程严格遵循合规合法、公平公正的基本准则，全面符合国内资本市场监管要求与《公司法》《证券法》等相关法律法规，确保退出过程透明可追溯、操作规范有序。在退出过程中，充分保障全体投资者、公司股东及员工的合法权益，坚持公开披露相关信息，杜绝内幕交易、利益输送等违规行为，维护资本市场与公司的良好形象。</w:t>
      </w:r>
    </w:p>
    <w:p w14:paraId="2D4D40EB">
      <w:pPr>
        <w:pStyle w:val="3"/>
        <w:numPr>
          <w:ilvl w:val="0"/>
          <w:numId w:val="34"/>
        </w:numPr>
        <w:bidi w:val="0"/>
        <w:ind w:left="0" w:leftChars="0" w:firstLine="0" w:firstLineChars="0"/>
        <w:rPr>
          <w:rFonts w:hint="default"/>
          <w:lang w:val="en-US" w:eastAsia="zh-CN"/>
        </w:rPr>
      </w:pPr>
      <w:bookmarkStart w:id="74" w:name="_Toc26417"/>
      <w:r>
        <w:rPr>
          <w:rFonts w:hint="default"/>
          <w:lang w:val="en-US" w:eastAsia="zh-CN"/>
        </w:rPr>
        <w:t>退出方式</w:t>
      </w:r>
      <w:bookmarkEnd w:id="73"/>
      <w:bookmarkEnd w:id="74"/>
    </w:p>
    <w:p w14:paraId="031BABC1">
      <w:pPr>
        <w:keepNext w:val="0"/>
        <w:keepLines w:val="0"/>
        <w:widowControl/>
        <w:suppressLineNumbers w:val="0"/>
        <w:jc w:val="left"/>
      </w:pPr>
      <w:bookmarkStart w:id="75" w:name="_Toc13877"/>
      <w:r>
        <w:rPr>
          <w:rFonts w:ascii="宋体" w:hAnsi="宋体" w:eastAsia="宋体" w:cs="宋体"/>
          <w:kern w:val="0"/>
          <w:sz w:val="24"/>
          <w:szCs w:val="24"/>
          <w:lang w:val="en-US" w:eastAsia="zh-CN" w:bidi="ar"/>
        </w:rPr>
        <w:t>结合公司阶段性发展战略、资本市场波动规律及行业估值特点，本项目制定“首选-备选-兜底”三层递进式退出策略，灵活适配不同市场环境与公司发展阶段，最大限度降低退出风险，保障投资者回报的稳定性与可实现性，各退出方式具体规划如下。</w:t>
      </w:r>
    </w:p>
    <w:p w14:paraId="0FF4D058">
      <w:pPr>
        <w:keepNext w:val="0"/>
        <w:keepLines w:val="0"/>
        <w:widowControl/>
        <w:suppressLineNumbers w:val="0"/>
        <w:jc w:val="left"/>
      </w:pPr>
      <w:r>
        <w:rPr>
          <w:rFonts w:ascii="宋体" w:hAnsi="宋体" w:eastAsia="宋体" w:cs="宋体"/>
          <w:kern w:val="0"/>
          <w:sz w:val="24"/>
          <w:szCs w:val="24"/>
          <w:lang w:val="en-US" w:eastAsia="zh-CN" w:bidi="ar"/>
        </w:rPr>
        <w:t>IPO退出（首选方式）：依托公司5年发展战略，计划在第5年完成细分领域龙头企业布局、实现营收突破50亿元、核心专利达30项以上的目标后，启动IPO申报工作，目标登陆创业板或科创板——两大板块聚焦高新技术产业与战略性新兴产业，与本项目工业自动化、医疗防护装备配套的定位高度契合，能够更好地体现公司核心价值、提升估值水平。完成上市流程且满足股份锁定期要求后，投资者通过二级市场逐步减持股份实现资本退出，结合国内医疗防护自动化设备行业平均估值水平，综合预判投资回报率可达5-8倍。</w:t>
      </w:r>
    </w:p>
    <w:p w14:paraId="5D16D549">
      <w:pPr>
        <w:keepNext w:val="0"/>
        <w:keepLines w:val="0"/>
        <w:widowControl/>
        <w:suppressLineNumbers w:val="0"/>
        <w:jc w:val="left"/>
      </w:pPr>
      <w:r>
        <w:rPr>
          <w:rFonts w:ascii="宋体" w:hAnsi="宋体" w:eastAsia="宋体" w:cs="宋体"/>
          <w:kern w:val="0"/>
          <w:sz w:val="24"/>
          <w:szCs w:val="24"/>
          <w:lang w:val="en-US" w:eastAsia="zh-CN" w:bidi="ar"/>
        </w:rPr>
        <w:t>并购退出（备选方式）：若IPO退出因资本市场波动、行业周期调整等不可抗力因素受阻，将启动备选退出方案，在第4-5年主动对接医疗防护装备行业龙头企业、大型工业自动化科技公司，开展并购合作洽谈。并购估值参考公司当期净利润水平，按净利润15-20倍进行合理定价，综合行业并购案例与公司核心竞争力，预计投资者投资回报率维持在3-5倍，确保投资者获得稳定合理的回报，同时实现公司资源的优化整合，保障公司业务的持续推进。</w:t>
      </w:r>
    </w:p>
    <w:p w14:paraId="178F5265">
      <w:pPr>
        <w:keepNext w:val="0"/>
        <w:keepLines w:val="0"/>
        <w:widowControl/>
        <w:suppressLineNumbers w:val="0"/>
        <w:jc w:val="left"/>
      </w:pPr>
      <w:r>
        <w:rPr>
          <w:rFonts w:ascii="宋体" w:hAnsi="宋体" w:eastAsia="宋体" w:cs="宋体"/>
          <w:kern w:val="0"/>
          <w:sz w:val="24"/>
          <w:szCs w:val="24"/>
          <w:lang w:val="en-US" w:eastAsia="zh-CN" w:bidi="ar"/>
        </w:rPr>
        <w:t>股权回购（兜底方式）：为进一步保障投资者利益，降低投资风险，设置股权回购作为兜底退出方式，约定在第3-5年期间，若公司满足协议约定的业绩条件（如年度净利润增速≥25%、核心业务营收稳步增长等），公司将按净利润10-12倍的合理估值，回购投资者持有的部分或全部股权。通过该兜底机制，确保投资者年化收益率稳定在15%-20%，有效规避市场波动与行业风险带来的投资损失，增强投资者的投资信心。</w:t>
      </w:r>
    </w:p>
    <w:p w14:paraId="0540E243">
      <w:pPr>
        <w:pStyle w:val="3"/>
        <w:numPr>
          <w:ilvl w:val="0"/>
          <w:numId w:val="34"/>
        </w:numPr>
        <w:bidi w:val="0"/>
        <w:ind w:left="0" w:leftChars="0" w:firstLine="0" w:firstLineChars="0"/>
        <w:rPr>
          <w:rFonts w:hint="default"/>
          <w:lang w:val="en-US" w:eastAsia="zh-CN"/>
        </w:rPr>
      </w:pPr>
      <w:bookmarkStart w:id="76" w:name="_Toc14434"/>
      <w:r>
        <w:rPr>
          <w:rFonts w:hint="default"/>
          <w:lang w:val="en-US" w:eastAsia="zh-CN"/>
        </w:rPr>
        <w:t>退出保障</w:t>
      </w:r>
      <w:bookmarkEnd w:id="75"/>
      <w:bookmarkEnd w:id="76"/>
    </w:p>
    <w:p w14:paraId="75AEC888">
      <w:pPr>
        <w:keepNext w:val="0"/>
        <w:keepLines w:val="0"/>
        <w:widowControl/>
        <w:suppressLineNumbers w:val="0"/>
        <w:jc w:val="left"/>
      </w:pPr>
      <w:r>
        <w:rPr>
          <w:rFonts w:ascii="宋体" w:hAnsi="宋体" w:eastAsia="宋体" w:cs="宋体"/>
          <w:kern w:val="0"/>
          <w:sz w:val="24"/>
          <w:szCs w:val="24"/>
          <w:lang w:val="en-US" w:eastAsia="zh-CN" w:bidi="ar"/>
        </w:rPr>
        <w:t>为确保各层级退出方式顺利落地，保障投资者退出权益，从公司治理、协议规范、价值提升、投资者关系管理四个核心维度，构建全方位的资本退出保障体系，为资本退出创造良好条件，降低退出风险。</w:t>
      </w:r>
    </w:p>
    <w:p w14:paraId="57AA701A">
      <w:pPr>
        <w:keepNext w:val="0"/>
        <w:keepLines w:val="0"/>
        <w:widowControl/>
        <w:suppressLineNumbers w:val="0"/>
        <w:jc w:val="left"/>
      </w:pPr>
      <w:r>
        <w:rPr>
          <w:rFonts w:ascii="宋体" w:hAnsi="宋体" w:eastAsia="宋体" w:cs="宋体"/>
          <w:kern w:val="0"/>
          <w:sz w:val="24"/>
          <w:szCs w:val="24"/>
          <w:lang w:val="en-US" w:eastAsia="zh-CN" w:bidi="ar"/>
        </w:rPr>
        <w:t>完善公司治理与信息披露体系，建立规范的法人治理结构，明确股东大会、董事会、监事会及经营管理层的权责划分，形成权责对等、有效制衡的治理机制；严格落实信息披露制度，定期向投资者提供真实、准确、完整的财务数据与运营信息，每季度出具详细财务报告，半年度披露全面运营分析报告，年度开展专项业绩复盘，确保投资者及时掌握公司发展动态与财务状况，为退出决策提供可靠依据。</w:t>
      </w:r>
    </w:p>
    <w:p w14:paraId="693EA82B">
      <w:pPr>
        <w:keepNext w:val="0"/>
        <w:keepLines w:val="0"/>
        <w:widowControl/>
        <w:suppressLineNumbers w:val="0"/>
        <w:jc w:val="left"/>
      </w:pPr>
      <w:r>
        <w:rPr>
          <w:rFonts w:ascii="宋体" w:hAnsi="宋体" w:eastAsia="宋体" w:cs="宋体"/>
          <w:kern w:val="0"/>
          <w:sz w:val="24"/>
          <w:szCs w:val="24"/>
          <w:lang w:val="en-US" w:eastAsia="zh-CN" w:bidi="ar"/>
        </w:rPr>
        <w:t>规范退出协议管理，与投资者签订标准化、规范化的资本退出协议，明确细化退出条件、估值计算方式、股份减持节奏、支付条款及违约责任等核心内容。估值过程采用收益法与市场法相结合的方式，结合公司净利润、核心资产、行业估值水平、市场竞争力等多维度因素，确保估值结果公平合理、客观公正，充分保障投资者与公司双方的合法权益，避免退出过程中出现纠纷。</w:t>
      </w:r>
    </w:p>
    <w:p w14:paraId="14194767">
      <w:pPr>
        <w:keepNext w:val="0"/>
        <w:keepLines w:val="0"/>
        <w:widowControl/>
        <w:suppressLineNumbers w:val="0"/>
        <w:jc w:val="left"/>
      </w:pPr>
      <w:r>
        <w:rPr>
          <w:rFonts w:ascii="宋体" w:hAnsi="宋体" w:eastAsia="宋体" w:cs="宋体"/>
          <w:kern w:val="0"/>
          <w:sz w:val="24"/>
          <w:szCs w:val="24"/>
          <w:lang w:val="en-US" w:eastAsia="zh-CN" w:bidi="ar"/>
        </w:rPr>
        <w:t>持续提升公司核心价值，为资本退出奠定坚实基础。严格落实公司发展战略，通过技术创新持续迭代产品性能、强化技术壁垒，通过市场拓展扩大市场份额、提升营收与盈利水平，通过“硬件+软件+服务+生态”的一体化模式优化盈利结构，增强公司在资本市场的吸引力与估值潜力；同时，加强成本管控与运营效率提升，持续提升公司盈利能力与可持续发展能力，推动公司价值稳步增长，确保投资者获得可观的投资回报。</w:t>
      </w:r>
    </w:p>
    <w:p w14:paraId="6F62AAAE">
      <w:pPr>
        <w:keepNext w:val="0"/>
        <w:keepLines w:val="0"/>
        <w:widowControl/>
        <w:suppressLineNumbers w:val="0"/>
        <w:jc w:val="left"/>
      </w:pPr>
      <w:r>
        <w:rPr>
          <w:rFonts w:ascii="宋体" w:hAnsi="宋体" w:eastAsia="宋体" w:cs="宋体"/>
          <w:kern w:val="0"/>
          <w:sz w:val="24"/>
          <w:szCs w:val="24"/>
          <w:lang w:val="en-US" w:eastAsia="zh-CN" w:bidi="ar"/>
        </w:rPr>
        <w:t>建立完善的投资者关系管理机制，设立专门的投资者关系管理岗位，定期组织投资者沟通会、线上答疑、实地调研等活动，及时回应投资者关于公司发展、资本退出、财务状况等方面的关切；主动向投资者传递公司发展战略、核心优势与业绩进展，加强与资本市场的对接，提升公司品牌知名度与资本市场认可度，为IPO退出、并购退出创造良好的市场环境，确保资本退出顺利推进。</w:t>
      </w:r>
    </w:p>
    <w:p w14:paraId="5C9822EA">
      <w:pPr>
        <w:rPr>
          <w:rFonts w:hint="default"/>
          <w:sz w:val="24"/>
          <w:szCs w:val="24"/>
          <w:lang w:val="en-US" w:eastAsia="zh-CN"/>
        </w:rPr>
      </w:pPr>
    </w:p>
    <w:sectPr>
      <w:footerReference r:id="rId6"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E0BA6D">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6D5044">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C8AFDA">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7aJO4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GEsM0Kn768f30&#10;8+H06xvBGQRqXJgh7t4hMrbvbIu2Gc4DDhPvtvI6fcGIwA95jxd5RRsJT5emk+k0h4vDN2yAnz1e&#10;dz7E98JqkoyCetSvk5UdNiH2oUNIymbsWirV1VAZ0hT06vX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7aJO4zAgAAYwQAAA4AAAAAAAAAAQAgAAAAHwEAAGRycy9lMm9Eb2MueG1sUEsF&#10;BgAAAAAGAAYAWQEAAMQFAAAAAA==&#10;">
              <v:fill on="f" focussize="0,0"/>
              <v:stroke on="f" weight="0.5pt"/>
              <v:imagedata o:title=""/>
              <o:lock v:ext="edit" aspectratio="f"/>
              <v:textbox inset="0mm,0mm,0mm,0mm" style="mso-fit-shape-to-text:t;">
                <w:txbxContent>
                  <w:p w14:paraId="0AC8AFDA">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AC458E"/>
    <w:multiLevelType w:val="singleLevel"/>
    <w:tmpl w:val="88AC458E"/>
    <w:lvl w:ilvl="0" w:tentative="0">
      <w:start w:val="1"/>
      <w:numFmt w:val="decimal"/>
      <w:suff w:val="space"/>
      <w:lvlText w:val="8.%1"/>
      <w:lvlJc w:val="left"/>
      <w:pPr>
        <w:tabs>
          <w:tab w:val="left" w:pos="0"/>
        </w:tabs>
        <w:ind w:left="0" w:firstLine="0"/>
      </w:pPr>
      <w:rPr>
        <w:rFonts w:hint="default" w:ascii="黑体" w:hAnsi="黑体" w:eastAsia="黑体" w:cs="黑体"/>
      </w:rPr>
    </w:lvl>
  </w:abstractNum>
  <w:abstractNum w:abstractNumId="1">
    <w:nsid w:val="907E9E94"/>
    <w:multiLevelType w:val="singleLevel"/>
    <w:tmpl w:val="907E9E94"/>
    <w:lvl w:ilvl="0" w:tentative="0">
      <w:start w:val="1"/>
      <w:numFmt w:val="decimal"/>
      <w:pStyle w:val="3"/>
      <w:suff w:val="space"/>
      <w:lvlText w:val="5.%1"/>
      <w:lvlJc w:val="left"/>
      <w:pPr>
        <w:tabs>
          <w:tab w:val="left" w:pos="0"/>
        </w:tabs>
        <w:ind w:left="0" w:firstLine="0"/>
      </w:pPr>
      <w:rPr>
        <w:rFonts w:hint="default" w:ascii="黑体" w:hAnsi="黑体" w:eastAsia="黑体" w:cs="黑体"/>
      </w:rPr>
    </w:lvl>
  </w:abstractNum>
  <w:abstractNum w:abstractNumId="2">
    <w:nsid w:val="A9D71A00"/>
    <w:multiLevelType w:val="singleLevel"/>
    <w:tmpl w:val="A9D71A00"/>
    <w:lvl w:ilvl="0" w:tentative="0">
      <w:start w:val="1"/>
      <w:numFmt w:val="decimal"/>
      <w:suff w:val="space"/>
      <w:lvlText w:val="1.2.%1"/>
      <w:lvlJc w:val="left"/>
      <w:pPr>
        <w:tabs>
          <w:tab w:val="left" w:pos="0"/>
        </w:tabs>
        <w:ind w:left="0" w:firstLine="0"/>
      </w:pPr>
      <w:rPr>
        <w:rFonts w:hint="default"/>
      </w:rPr>
    </w:lvl>
  </w:abstractNum>
  <w:abstractNum w:abstractNumId="3">
    <w:nsid w:val="ABEADFCC"/>
    <w:multiLevelType w:val="singleLevel"/>
    <w:tmpl w:val="ABEADFCC"/>
    <w:lvl w:ilvl="0" w:tentative="0">
      <w:start w:val="1"/>
      <w:numFmt w:val="decimal"/>
      <w:suff w:val="space"/>
      <w:lvlText w:val="6.%1"/>
      <w:lvlJc w:val="left"/>
      <w:pPr>
        <w:tabs>
          <w:tab w:val="left" w:pos="0"/>
        </w:tabs>
        <w:ind w:left="0" w:firstLine="0"/>
      </w:pPr>
      <w:rPr>
        <w:rFonts w:hint="default" w:ascii="黑体" w:hAnsi="黑体" w:eastAsia="黑体" w:cs="黑体"/>
      </w:rPr>
    </w:lvl>
  </w:abstractNum>
  <w:abstractNum w:abstractNumId="4">
    <w:nsid w:val="B3F44374"/>
    <w:multiLevelType w:val="singleLevel"/>
    <w:tmpl w:val="B3F44374"/>
    <w:lvl w:ilvl="0" w:tentative="0">
      <w:start w:val="1"/>
      <w:numFmt w:val="decimal"/>
      <w:suff w:val="space"/>
      <w:lvlText w:val="8.3.%1"/>
      <w:lvlJc w:val="left"/>
      <w:pPr>
        <w:tabs>
          <w:tab w:val="left" w:pos="0"/>
        </w:tabs>
        <w:ind w:left="0" w:firstLine="0"/>
      </w:pPr>
      <w:rPr>
        <w:rFonts w:hint="default"/>
      </w:rPr>
    </w:lvl>
  </w:abstractNum>
  <w:abstractNum w:abstractNumId="5">
    <w:nsid w:val="BECE0720"/>
    <w:multiLevelType w:val="singleLevel"/>
    <w:tmpl w:val="BECE0720"/>
    <w:lvl w:ilvl="0" w:tentative="0">
      <w:start w:val="1"/>
      <w:numFmt w:val="decimal"/>
      <w:suff w:val="space"/>
      <w:lvlText w:val="3.1.%1"/>
      <w:lvlJc w:val="left"/>
      <w:pPr>
        <w:tabs>
          <w:tab w:val="left" w:pos="0"/>
        </w:tabs>
        <w:ind w:left="0" w:firstLine="0"/>
      </w:pPr>
      <w:rPr>
        <w:rFonts w:hint="default"/>
      </w:rPr>
    </w:lvl>
  </w:abstractNum>
  <w:abstractNum w:abstractNumId="6">
    <w:nsid w:val="C11F5877"/>
    <w:multiLevelType w:val="singleLevel"/>
    <w:tmpl w:val="C11F5877"/>
    <w:lvl w:ilvl="0" w:tentative="0">
      <w:start w:val="1"/>
      <w:numFmt w:val="decimal"/>
      <w:suff w:val="space"/>
      <w:lvlText w:val="2.%1"/>
      <w:lvlJc w:val="left"/>
      <w:pPr>
        <w:tabs>
          <w:tab w:val="left" w:pos="0"/>
        </w:tabs>
        <w:ind w:left="0" w:firstLine="0"/>
      </w:pPr>
      <w:rPr>
        <w:rFonts w:hint="default" w:ascii="黑体" w:hAnsi="黑体" w:eastAsia="黑体" w:cs="黑体"/>
      </w:rPr>
    </w:lvl>
  </w:abstractNum>
  <w:abstractNum w:abstractNumId="7">
    <w:nsid w:val="C4EEEDDC"/>
    <w:multiLevelType w:val="singleLevel"/>
    <w:tmpl w:val="C4EEEDDC"/>
    <w:lvl w:ilvl="0" w:tentative="0">
      <w:start w:val="1"/>
      <w:numFmt w:val="decimal"/>
      <w:suff w:val="space"/>
      <w:lvlText w:val="3.3.%1"/>
      <w:lvlJc w:val="left"/>
      <w:pPr>
        <w:tabs>
          <w:tab w:val="left" w:pos="0"/>
        </w:tabs>
        <w:ind w:left="0" w:firstLine="0"/>
      </w:pPr>
      <w:rPr>
        <w:rFonts w:hint="default"/>
      </w:rPr>
    </w:lvl>
  </w:abstractNum>
  <w:abstractNum w:abstractNumId="8">
    <w:nsid w:val="CEF3E32C"/>
    <w:multiLevelType w:val="singleLevel"/>
    <w:tmpl w:val="CEF3E32C"/>
    <w:lvl w:ilvl="0" w:tentative="0">
      <w:start w:val="1"/>
      <w:numFmt w:val="decimal"/>
      <w:suff w:val="space"/>
      <w:lvlText w:val="8.1.%1"/>
      <w:lvlJc w:val="left"/>
      <w:pPr>
        <w:tabs>
          <w:tab w:val="left" w:pos="0"/>
        </w:tabs>
        <w:ind w:left="0" w:firstLine="0"/>
      </w:pPr>
      <w:rPr>
        <w:rFonts w:hint="default"/>
      </w:rPr>
    </w:lvl>
  </w:abstractNum>
  <w:abstractNum w:abstractNumId="9">
    <w:nsid w:val="D6C1E966"/>
    <w:multiLevelType w:val="singleLevel"/>
    <w:tmpl w:val="D6C1E966"/>
    <w:lvl w:ilvl="0" w:tentative="0">
      <w:start w:val="1"/>
      <w:numFmt w:val="decimal"/>
      <w:suff w:val="nothing"/>
      <w:lvlText w:val="(%1)"/>
      <w:lvlJc w:val="left"/>
      <w:pPr>
        <w:ind w:left="425" w:hanging="425"/>
      </w:pPr>
      <w:rPr>
        <w:rFonts w:hint="default"/>
      </w:rPr>
    </w:lvl>
  </w:abstractNum>
  <w:abstractNum w:abstractNumId="10">
    <w:nsid w:val="D762C510"/>
    <w:multiLevelType w:val="singleLevel"/>
    <w:tmpl w:val="D762C510"/>
    <w:lvl w:ilvl="0" w:tentative="0">
      <w:start w:val="1"/>
      <w:numFmt w:val="decimal"/>
      <w:suff w:val="space"/>
      <w:lvlText w:val="3.4.%1"/>
      <w:lvlJc w:val="left"/>
      <w:pPr>
        <w:tabs>
          <w:tab w:val="left" w:pos="0"/>
        </w:tabs>
        <w:ind w:left="0" w:firstLine="0"/>
      </w:pPr>
      <w:rPr>
        <w:rFonts w:hint="default"/>
      </w:rPr>
    </w:lvl>
  </w:abstractNum>
  <w:abstractNum w:abstractNumId="11">
    <w:nsid w:val="F75CF96B"/>
    <w:multiLevelType w:val="singleLevel"/>
    <w:tmpl w:val="F75CF96B"/>
    <w:lvl w:ilvl="0" w:tentative="0">
      <w:start w:val="1"/>
      <w:numFmt w:val="decimal"/>
      <w:suff w:val="space"/>
      <w:lvlText w:val="4.2.%1"/>
      <w:lvlJc w:val="left"/>
      <w:pPr>
        <w:tabs>
          <w:tab w:val="left" w:pos="0"/>
        </w:tabs>
        <w:ind w:left="0" w:firstLine="0"/>
      </w:pPr>
      <w:rPr>
        <w:rFonts w:hint="default"/>
      </w:rPr>
    </w:lvl>
  </w:abstractNum>
  <w:abstractNum w:abstractNumId="12">
    <w:nsid w:val="FC1E8F2B"/>
    <w:multiLevelType w:val="singleLevel"/>
    <w:tmpl w:val="FC1E8F2B"/>
    <w:lvl w:ilvl="0" w:tentative="0">
      <w:start w:val="1"/>
      <w:numFmt w:val="decimal"/>
      <w:suff w:val="space"/>
      <w:lvlText w:val="3.%1"/>
      <w:lvlJc w:val="left"/>
      <w:pPr>
        <w:tabs>
          <w:tab w:val="left" w:pos="0"/>
        </w:tabs>
        <w:ind w:left="0" w:firstLine="0"/>
      </w:pPr>
      <w:rPr>
        <w:rFonts w:hint="default" w:ascii="黑体" w:hAnsi="黑体" w:eastAsia="黑体" w:cs="黑体"/>
      </w:rPr>
    </w:lvl>
  </w:abstractNum>
  <w:abstractNum w:abstractNumId="13">
    <w:nsid w:val="0B74030E"/>
    <w:multiLevelType w:val="singleLevel"/>
    <w:tmpl w:val="0B74030E"/>
    <w:lvl w:ilvl="0" w:tentative="0">
      <w:start w:val="1"/>
      <w:numFmt w:val="decimal"/>
      <w:suff w:val="space"/>
      <w:lvlText w:val="3.6.%1"/>
      <w:lvlJc w:val="left"/>
      <w:pPr>
        <w:tabs>
          <w:tab w:val="left" w:pos="0"/>
        </w:tabs>
        <w:ind w:left="0" w:firstLine="0"/>
      </w:pPr>
      <w:rPr>
        <w:rFonts w:hint="default"/>
      </w:rPr>
    </w:lvl>
  </w:abstractNum>
  <w:abstractNum w:abstractNumId="14">
    <w:nsid w:val="0F7BCFAA"/>
    <w:multiLevelType w:val="singleLevel"/>
    <w:tmpl w:val="0F7BCFAA"/>
    <w:lvl w:ilvl="0" w:tentative="0">
      <w:start w:val="1"/>
      <w:numFmt w:val="decimal"/>
      <w:suff w:val="space"/>
      <w:lvlText w:val="4.1.%1"/>
      <w:lvlJc w:val="left"/>
      <w:pPr>
        <w:tabs>
          <w:tab w:val="left" w:pos="0"/>
        </w:tabs>
        <w:ind w:left="0" w:firstLine="0"/>
      </w:pPr>
      <w:rPr>
        <w:rFonts w:hint="default"/>
      </w:rPr>
    </w:lvl>
  </w:abstractNum>
  <w:abstractNum w:abstractNumId="15">
    <w:nsid w:val="13DD13A6"/>
    <w:multiLevelType w:val="singleLevel"/>
    <w:tmpl w:val="13DD13A6"/>
    <w:lvl w:ilvl="0" w:tentative="0">
      <w:start w:val="1"/>
      <w:numFmt w:val="decimal"/>
      <w:suff w:val="nothing"/>
      <w:lvlText w:val="(%1)"/>
      <w:lvlJc w:val="left"/>
      <w:pPr>
        <w:ind w:left="425" w:hanging="425"/>
      </w:pPr>
      <w:rPr>
        <w:rFonts w:hint="default"/>
      </w:rPr>
    </w:lvl>
  </w:abstractNum>
  <w:abstractNum w:abstractNumId="16">
    <w:nsid w:val="15BE14DA"/>
    <w:multiLevelType w:val="singleLevel"/>
    <w:tmpl w:val="15BE14DA"/>
    <w:lvl w:ilvl="0" w:tentative="0">
      <w:start w:val="1"/>
      <w:numFmt w:val="decimal"/>
      <w:suff w:val="space"/>
      <w:lvlText w:val="2.2.%1"/>
      <w:lvlJc w:val="left"/>
      <w:pPr>
        <w:tabs>
          <w:tab w:val="left" w:pos="0"/>
        </w:tabs>
        <w:ind w:left="0" w:firstLine="0"/>
      </w:pPr>
      <w:rPr>
        <w:rFonts w:hint="default"/>
      </w:rPr>
    </w:lvl>
  </w:abstractNum>
  <w:abstractNum w:abstractNumId="17">
    <w:nsid w:val="1633458E"/>
    <w:multiLevelType w:val="singleLevel"/>
    <w:tmpl w:val="1633458E"/>
    <w:lvl w:ilvl="0" w:tentative="0">
      <w:start w:val="1"/>
      <w:numFmt w:val="decimal"/>
      <w:suff w:val="space"/>
      <w:lvlText w:val="1.1.%1"/>
      <w:lvlJc w:val="left"/>
      <w:pPr>
        <w:ind w:left="0" w:firstLine="0"/>
      </w:pPr>
      <w:rPr>
        <w:rFonts w:hint="default"/>
      </w:rPr>
    </w:lvl>
  </w:abstractNum>
  <w:abstractNum w:abstractNumId="18">
    <w:nsid w:val="20F3C586"/>
    <w:multiLevelType w:val="singleLevel"/>
    <w:tmpl w:val="20F3C586"/>
    <w:lvl w:ilvl="0" w:tentative="0">
      <w:start w:val="1"/>
      <w:numFmt w:val="decimal"/>
      <w:suff w:val="space"/>
      <w:lvlText w:val="2.1.%1"/>
      <w:lvlJc w:val="left"/>
      <w:pPr>
        <w:tabs>
          <w:tab w:val="left" w:pos="0"/>
        </w:tabs>
        <w:ind w:left="0" w:firstLine="0"/>
      </w:pPr>
      <w:rPr>
        <w:rFonts w:hint="default"/>
      </w:rPr>
    </w:lvl>
  </w:abstractNum>
  <w:abstractNum w:abstractNumId="19">
    <w:nsid w:val="2149C33B"/>
    <w:multiLevelType w:val="singleLevel"/>
    <w:tmpl w:val="2149C33B"/>
    <w:lvl w:ilvl="0" w:tentative="0">
      <w:start w:val="1"/>
      <w:numFmt w:val="decimal"/>
      <w:suff w:val="space"/>
      <w:lvlText w:val="6.2.%1"/>
      <w:lvlJc w:val="left"/>
      <w:pPr>
        <w:tabs>
          <w:tab w:val="left" w:pos="0"/>
        </w:tabs>
        <w:ind w:left="0" w:firstLine="0"/>
      </w:pPr>
      <w:rPr>
        <w:rFonts w:hint="default"/>
      </w:rPr>
    </w:lvl>
  </w:abstractNum>
  <w:abstractNum w:abstractNumId="20">
    <w:nsid w:val="22F9D965"/>
    <w:multiLevelType w:val="singleLevel"/>
    <w:tmpl w:val="22F9D965"/>
    <w:lvl w:ilvl="0" w:tentative="0">
      <w:start w:val="1"/>
      <w:numFmt w:val="decimal"/>
      <w:suff w:val="space"/>
      <w:lvlText w:val="5.%1"/>
      <w:lvlJc w:val="left"/>
      <w:pPr>
        <w:tabs>
          <w:tab w:val="left" w:pos="0"/>
        </w:tabs>
        <w:ind w:left="0" w:firstLine="0"/>
      </w:pPr>
      <w:rPr>
        <w:rFonts w:hint="default" w:ascii="黑体" w:hAnsi="黑体" w:eastAsia="黑体" w:cs="黑体"/>
      </w:rPr>
    </w:lvl>
  </w:abstractNum>
  <w:abstractNum w:abstractNumId="21">
    <w:nsid w:val="2DABAC39"/>
    <w:multiLevelType w:val="singleLevel"/>
    <w:tmpl w:val="2DABAC39"/>
    <w:lvl w:ilvl="0" w:tentative="0">
      <w:start w:val="1"/>
      <w:numFmt w:val="decimal"/>
      <w:suff w:val="space"/>
      <w:lvlText w:val="4.%1"/>
      <w:lvlJc w:val="left"/>
      <w:pPr>
        <w:tabs>
          <w:tab w:val="left" w:pos="0"/>
        </w:tabs>
        <w:ind w:left="0" w:firstLine="0"/>
      </w:pPr>
      <w:rPr>
        <w:rFonts w:hint="default" w:ascii="黑体" w:hAnsi="黑体" w:eastAsia="黑体" w:cs="黑体"/>
      </w:rPr>
    </w:lvl>
  </w:abstractNum>
  <w:abstractNum w:abstractNumId="22">
    <w:nsid w:val="343CB115"/>
    <w:multiLevelType w:val="singleLevel"/>
    <w:tmpl w:val="343CB115"/>
    <w:lvl w:ilvl="0" w:tentative="0">
      <w:start w:val="1"/>
      <w:numFmt w:val="decimal"/>
      <w:suff w:val="space"/>
      <w:lvlText w:val="8.5.%1"/>
      <w:lvlJc w:val="left"/>
      <w:pPr>
        <w:tabs>
          <w:tab w:val="left" w:pos="0"/>
        </w:tabs>
        <w:ind w:left="0" w:firstLine="0"/>
      </w:pPr>
      <w:rPr>
        <w:rFonts w:hint="default"/>
      </w:rPr>
    </w:lvl>
  </w:abstractNum>
  <w:abstractNum w:abstractNumId="23">
    <w:nsid w:val="35A7A2F3"/>
    <w:multiLevelType w:val="singleLevel"/>
    <w:tmpl w:val="35A7A2F3"/>
    <w:lvl w:ilvl="0" w:tentative="0">
      <w:start w:val="1"/>
      <w:numFmt w:val="chineseCounting"/>
      <w:pStyle w:val="2"/>
      <w:suff w:val="nothing"/>
      <w:lvlText w:val="%1、"/>
      <w:lvlJc w:val="left"/>
      <w:pPr>
        <w:ind w:left="0" w:firstLine="420"/>
      </w:pPr>
      <w:rPr>
        <w:rFonts w:hint="eastAsia"/>
      </w:rPr>
    </w:lvl>
  </w:abstractNum>
  <w:abstractNum w:abstractNumId="24">
    <w:nsid w:val="59E654C6"/>
    <w:multiLevelType w:val="singleLevel"/>
    <w:tmpl w:val="59E654C6"/>
    <w:lvl w:ilvl="0" w:tentative="0">
      <w:start w:val="1"/>
      <w:numFmt w:val="decimal"/>
      <w:suff w:val="space"/>
      <w:lvlText w:val="9.%1"/>
      <w:lvlJc w:val="left"/>
      <w:pPr>
        <w:tabs>
          <w:tab w:val="left" w:pos="0"/>
        </w:tabs>
        <w:ind w:left="0" w:firstLine="0"/>
      </w:pPr>
      <w:rPr>
        <w:rFonts w:hint="default" w:ascii="黑体" w:hAnsi="黑体" w:eastAsia="黑体" w:cs="黑体"/>
      </w:rPr>
    </w:lvl>
  </w:abstractNum>
  <w:abstractNum w:abstractNumId="25">
    <w:nsid w:val="5B8B46EA"/>
    <w:multiLevelType w:val="singleLevel"/>
    <w:tmpl w:val="5B8B46EA"/>
    <w:lvl w:ilvl="0" w:tentative="0">
      <w:start w:val="1"/>
      <w:numFmt w:val="decimal"/>
      <w:pStyle w:val="4"/>
      <w:suff w:val="space"/>
      <w:lvlText w:val="5.2.%1"/>
      <w:lvlJc w:val="left"/>
      <w:pPr>
        <w:tabs>
          <w:tab w:val="left" w:pos="0"/>
        </w:tabs>
        <w:ind w:left="0" w:firstLine="0"/>
      </w:pPr>
      <w:rPr>
        <w:rFonts w:hint="default"/>
      </w:rPr>
    </w:lvl>
  </w:abstractNum>
  <w:abstractNum w:abstractNumId="26">
    <w:nsid w:val="5CC33A6B"/>
    <w:multiLevelType w:val="singleLevel"/>
    <w:tmpl w:val="5CC33A6B"/>
    <w:lvl w:ilvl="0" w:tentative="0">
      <w:start w:val="1"/>
      <w:numFmt w:val="decimal"/>
      <w:suff w:val="space"/>
      <w:lvlText w:val="8.2.%1"/>
      <w:lvlJc w:val="left"/>
      <w:pPr>
        <w:tabs>
          <w:tab w:val="left" w:pos="0"/>
        </w:tabs>
        <w:ind w:left="0" w:firstLine="0"/>
      </w:pPr>
      <w:rPr>
        <w:rFonts w:hint="default"/>
      </w:rPr>
    </w:lvl>
  </w:abstractNum>
  <w:abstractNum w:abstractNumId="27">
    <w:nsid w:val="5DFEE403"/>
    <w:multiLevelType w:val="singleLevel"/>
    <w:tmpl w:val="5DFEE403"/>
    <w:lvl w:ilvl="0" w:tentative="0">
      <w:start w:val="1"/>
      <w:numFmt w:val="decimal"/>
      <w:suff w:val="space"/>
      <w:lvlText w:val="3.5.%1"/>
      <w:lvlJc w:val="left"/>
      <w:pPr>
        <w:tabs>
          <w:tab w:val="left" w:pos="0"/>
        </w:tabs>
        <w:ind w:left="0" w:firstLine="0"/>
      </w:pPr>
      <w:rPr>
        <w:rFonts w:hint="default"/>
      </w:rPr>
    </w:lvl>
  </w:abstractNum>
  <w:abstractNum w:abstractNumId="28">
    <w:nsid w:val="698AC0E8"/>
    <w:multiLevelType w:val="singleLevel"/>
    <w:tmpl w:val="698AC0E8"/>
    <w:lvl w:ilvl="0" w:tentative="0">
      <w:start w:val="1"/>
      <w:numFmt w:val="decimal"/>
      <w:suff w:val="space"/>
      <w:lvlText w:val="8.4.%1"/>
      <w:lvlJc w:val="left"/>
      <w:pPr>
        <w:tabs>
          <w:tab w:val="left" w:pos="0"/>
        </w:tabs>
        <w:ind w:left="0" w:firstLine="0"/>
      </w:pPr>
      <w:rPr>
        <w:rFonts w:hint="default"/>
      </w:rPr>
    </w:lvl>
  </w:abstractNum>
  <w:abstractNum w:abstractNumId="29">
    <w:nsid w:val="6F1CEE93"/>
    <w:multiLevelType w:val="singleLevel"/>
    <w:tmpl w:val="6F1CEE93"/>
    <w:lvl w:ilvl="0" w:tentative="0">
      <w:start w:val="1"/>
      <w:numFmt w:val="decimal"/>
      <w:suff w:val="space"/>
      <w:lvlText w:val="2.3.%1"/>
      <w:lvlJc w:val="left"/>
      <w:pPr>
        <w:tabs>
          <w:tab w:val="left" w:pos="0"/>
        </w:tabs>
        <w:ind w:left="0" w:firstLine="0"/>
      </w:pPr>
      <w:rPr>
        <w:rFonts w:hint="default"/>
      </w:rPr>
    </w:lvl>
  </w:abstractNum>
  <w:abstractNum w:abstractNumId="30">
    <w:nsid w:val="767CFBE9"/>
    <w:multiLevelType w:val="singleLevel"/>
    <w:tmpl w:val="767CFBE9"/>
    <w:lvl w:ilvl="0" w:tentative="0">
      <w:start w:val="1"/>
      <w:numFmt w:val="decimal"/>
      <w:suff w:val="space"/>
      <w:lvlText w:val="1.3.%1"/>
      <w:lvlJc w:val="left"/>
      <w:pPr>
        <w:tabs>
          <w:tab w:val="left" w:pos="0"/>
        </w:tabs>
        <w:ind w:left="0" w:firstLine="0"/>
      </w:pPr>
      <w:rPr>
        <w:rFonts w:hint="default"/>
      </w:rPr>
    </w:lvl>
  </w:abstractNum>
  <w:abstractNum w:abstractNumId="31">
    <w:nsid w:val="772090EA"/>
    <w:multiLevelType w:val="singleLevel"/>
    <w:tmpl w:val="772090EA"/>
    <w:lvl w:ilvl="0" w:tentative="0">
      <w:start w:val="1"/>
      <w:numFmt w:val="decimal"/>
      <w:suff w:val="space"/>
      <w:lvlText w:val="1.%1"/>
      <w:lvlJc w:val="left"/>
      <w:pPr>
        <w:tabs>
          <w:tab w:val="left" w:pos="0"/>
        </w:tabs>
        <w:ind w:left="0" w:firstLine="0"/>
      </w:pPr>
      <w:rPr>
        <w:rFonts w:hint="default" w:ascii="黑体" w:hAnsi="黑体" w:eastAsia="黑体" w:cs="黑体"/>
      </w:rPr>
    </w:lvl>
  </w:abstractNum>
  <w:abstractNum w:abstractNumId="32">
    <w:nsid w:val="78EDAFBB"/>
    <w:multiLevelType w:val="singleLevel"/>
    <w:tmpl w:val="78EDAFBB"/>
    <w:lvl w:ilvl="0" w:tentative="0">
      <w:start w:val="1"/>
      <w:numFmt w:val="decimal"/>
      <w:suff w:val="nothing"/>
      <w:lvlText w:val="(%1)"/>
      <w:lvlJc w:val="left"/>
      <w:pPr>
        <w:ind w:left="425" w:hanging="425"/>
      </w:pPr>
      <w:rPr>
        <w:rFonts w:hint="default"/>
      </w:rPr>
    </w:lvl>
  </w:abstractNum>
  <w:abstractNum w:abstractNumId="33">
    <w:nsid w:val="7960E4AD"/>
    <w:multiLevelType w:val="singleLevel"/>
    <w:tmpl w:val="7960E4AD"/>
    <w:lvl w:ilvl="0" w:tentative="0">
      <w:start w:val="1"/>
      <w:numFmt w:val="decimal"/>
      <w:suff w:val="space"/>
      <w:lvlText w:val="7.%1"/>
      <w:lvlJc w:val="left"/>
      <w:pPr>
        <w:tabs>
          <w:tab w:val="left" w:pos="0"/>
        </w:tabs>
        <w:ind w:left="0" w:firstLine="0"/>
      </w:pPr>
      <w:rPr>
        <w:rFonts w:hint="default" w:ascii="黑体" w:hAnsi="黑体" w:eastAsia="黑体" w:cs="黑体"/>
      </w:rPr>
    </w:lvl>
  </w:abstractNum>
  <w:num w:numId="1">
    <w:abstractNumId w:val="23"/>
  </w:num>
  <w:num w:numId="2">
    <w:abstractNumId w:val="1"/>
  </w:num>
  <w:num w:numId="3">
    <w:abstractNumId w:val="25"/>
  </w:num>
  <w:num w:numId="4">
    <w:abstractNumId w:val="31"/>
  </w:num>
  <w:num w:numId="5">
    <w:abstractNumId w:val="17"/>
  </w:num>
  <w:num w:numId="6">
    <w:abstractNumId w:val="2"/>
  </w:num>
  <w:num w:numId="7">
    <w:abstractNumId w:val="30"/>
  </w:num>
  <w:num w:numId="8">
    <w:abstractNumId w:val="6"/>
  </w:num>
  <w:num w:numId="9">
    <w:abstractNumId w:val="18"/>
  </w:num>
  <w:num w:numId="10">
    <w:abstractNumId w:val="16"/>
  </w:num>
  <w:num w:numId="11">
    <w:abstractNumId w:val="29"/>
  </w:num>
  <w:num w:numId="12">
    <w:abstractNumId w:val="12"/>
  </w:num>
  <w:num w:numId="13">
    <w:abstractNumId w:val="5"/>
  </w:num>
  <w:num w:numId="14">
    <w:abstractNumId w:val="7"/>
  </w:num>
  <w:num w:numId="15">
    <w:abstractNumId w:val="10"/>
  </w:num>
  <w:num w:numId="16">
    <w:abstractNumId w:val="27"/>
  </w:num>
  <w:num w:numId="17">
    <w:abstractNumId w:val="13"/>
  </w:num>
  <w:num w:numId="18">
    <w:abstractNumId w:val="21"/>
  </w:num>
  <w:num w:numId="19">
    <w:abstractNumId w:val="14"/>
  </w:num>
  <w:num w:numId="20">
    <w:abstractNumId w:val="9"/>
  </w:num>
  <w:num w:numId="21">
    <w:abstractNumId w:val="32"/>
  </w:num>
  <w:num w:numId="22">
    <w:abstractNumId w:val="11"/>
  </w:num>
  <w:num w:numId="23">
    <w:abstractNumId w:val="15"/>
  </w:num>
  <w:num w:numId="24">
    <w:abstractNumId w:val="20"/>
  </w:num>
  <w:num w:numId="25">
    <w:abstractNumId w:val="3"/>
  </w:num>
  <w:num w:numId="26">
    <w:abstractNumId w:val="19"/>
    <w:lvlOverride w:ilvl="0">
      <w:startOverride w:val="1"/>
    </w:lvlOverride>
  </w:num>
  <w:num w:numId="27">
    <w:abstractNumId w:val="33"/>
  </w:num>
  <w:num w:numId="28">
    <w:abstractNumId w:val="0"/>
  </w:num>
  <w:num w:numId="29">
    <w:abstractNumId w:val="8"/>
  </w:num>
  <w:num w:numId="30">
    <w:abstractNumId w:val="26"/>
  </w:num>
  <w:num w:numId="31">
    <w:abstractNumId w:val="4"/>
  </w:num>
  <w:num w:numId="32">
    <w:abstractNumId w:val="28"/>
  </w:num>
  <w:num w:numId="33">
    <w:abstractNumId w:val="22"/>
  </w:num>
  <w:num w:numId="3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4B2A83"/>
    <w:rsid w:val="01987011"/>
    <w:rsid w:val="071243B7"/>
    <w:rsid w:val="0BB77C49"/>
    <w:rsid w:val="154D2F1C"/>
    <w:rsid w:val="1F867C76"/>
    <w:rsid w:val="239333C9"/>
    <w:rsid w:val="2AAF0DE6"/>
    <w:rsid w:val="2C2C463B"/>
    <w:rsid w:val="2EDB33D5"/>
    <w:rsid w:val="320A5EB8"/>
    <w:rsid w:val="358C3120"/>
    <w:rsid w:val="36220ACC"/>
    <w:rsid w:val="3A5100EF"/>
    <w:rsid w:val="3D7953F3"/>
    <w:rsid w:val="46B347A5"/>
    <w:rsid w:val="48334FCE"/>
    <w:rsid w:val="4FB01626"/>
    <w:rsid w:val="51BA71FE"/>
    <w:rsid w:val="52054A9D"/>
    <w:rsid w:val="55F11240"/>
    <w:rsid w:val="578A5002"/>
    <w:rsid w:val="5C4D0EE8"/>
    <w:rsid w:val="63C50DC9"/>
    <w:rsid w:val="680A6924"/>
    <w:rsid w:val="6A4B2A83"/>
    <w:rsid w:val="6BB01632"/>
    <w:rsid w:val="6C5032AB"/>
    <w:rsid w:val="6F9067A4"/>
    <w:rsid w:val="708B5A7F"/>
    <w:rsid w:val="7130196B"/>
    <w:rsid w:val="736D1458"/>
    <w:rsid w:val="75D70921"/>
    <w:rsid w:val="761250D6"/>
    <w:rsid w:val="7C3B2841"/>
    <w:rsid w:val="7D7B47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1440" w:firstLineChars="200"/>
      <w:jc w:val="both"/>
    </w:pPr>
    <w:rPr>
      <w:rFonts w:eastAsia="宋体" w:asciiTheme="minorAscii" w:hAnsiTheme="minorAscii" w:cstheme="minorBidi"/>
      <w:kern w:val="2"/>
      <w:sz w:val="24"/>
      <w:szCs w:val="24"/>
      <w:lang w:val="en-US" w:eastAsia="zh-CN" w:bidi="ar-SA"/>
    </w:rPr>
  </w:style>
  <w:style w:type="paragraph" w:styleId="2">
    <w:name w:val="heading 1"/>
    <w:basedOn w:val="1"/>
    <w:next w:val="1"/>
    <w:qFormat/>
    <w:uiPriority w:val="0"/>
    <w:pPr>
      <w:numPr>
        <w:ilvl w:val="0"/>
        <w:numId w:val="1"/>
      </w:numPr>
      <w:pBdr>
        <w:top w:val="none" w:color="auto" w:sz="0" w:space="0"/>
        <w:left w:val="none" w:color="auto" w:sz="0" w:space="0"/>
        <w:bottom w:val="none" w:color="auto" w:sz="0" w:space="0"/>
        <w:right w:val="none" w:color="auto" w:sz="0" w:space="0"/>
        <w:between w:val="none" w:color="auto" w:sz="0" w:space="0"/>
      </w:pBdr>
      <w:ind w:left="0" w:firstLine="0" w:firstLineChars="0"/>
      <w:jc w:val="left"/>
      <w:outlineLvl w:val="0"/>
    </w:pPr>
    <w:rPr>
      <w:rFonts w:ascii="Segoe UI" w:hAnsi="Segoe UI" w:eastAsia="黑体" w:cs="Segoe UI"/>
      <w:b/>
      <w:bCs/>
      <w:color w:val="000000"/>
      <w:sz w:val="32"/>
      <w:szCs w:val="18"/>
    </w:rPr>
  </w:style>
  <w:style w:type="paragraph" w:styleId="3">
    <w:name w:val="heading 2"/>
    <w:basedOn w:val="1"/>
    <w:next w:val="1"/>
    <w:unhideWhenUsed/>
    <w:qFormat/>
    <w:uiPriority w:val="0"/>
    <w:pPr>
      <w:numPr>
        <w:ilvl w:val="0"/>
        <w:numId w:val="2"/>
      </w:numPr>
      <w:pBdr>
        <w:top w:val="none" w:color="auto" w:sz="0" w:space="0"/>
        <w:left w:val="none" w:color="auto" w:sz="0" w:space="0"/>
        <w:bottom w:val="none" w:color="auto" w:sz="0" w:space="0"/>
        <w:right w:val="none" w:color="auto" w:sz="0" w:space="0"/>
        <w:between w:val="none" w:color="auto" w:sz="0" w:space="0"/>
      </w:pBdr>
      <w:ind w:firstLineChars="0"/>
      <w:outlineLvl w:val="1"/>
    </w:pPr>
    <w:rPr>
      <w:rFonts w:ascii="黑体" w:hAnsi="黑体" w:eastAsia="黑体" w:cs="黑体"/>
      <w:b/>
      <w:color w:val="000000"/>
      <w:sz w:val="28"/>
      <w:szCs w:val="28"/>
    </w:rPr>
  </w:style>
  <w:style w:type="paragraph" w:styleId="4">
    <w:name w:val="heading 3"/>
    <w:basedOn w:val="1"/>
    <w:next w:val="1"/>
    <w:unhideWhenUsed/>
    <w:qFormat/>
    <w:uiPriority w:val="0"/>
    <w:pPr>
      <w:numPr>
        <w:ilvl w:val="0"/>
        <w:numId w:val="3"/>
      </w:numPr>
      <w:outlineLvl w:val="2"/>
    </w:pPr>
    <w:rPr>
      <w:rFonts w:ascii="黑体" w:hAnsi="黑体" w:eastAsia="黑体" w:cs="黑体"/>
      <w:b/>
      <w:bCs/>
      <w:sz w:val="24"/>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5">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7">
    <w:name w:val="toc 3"/>
    <w:basedOn w:val="1"/>
    <w:next w:val="1"/>
    <w:qFormat/>
    <w:uiPriority w:val="0"/>
    <w:pPr>
      <w:ind w:left="840" w:leftChars="400"/>
    </w:p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qFormat/>
    <w:uiPriority w:val="0"/>
  </w:style>
  <w:style w:type="paragraph" w:styleId="11">
    <w:name w:val="toc 4"/>
    <w:basedOn w:val="1"/>
    <w:next w:val="1"/>
    <w:qFormat/>
    <w:uiPriority w:val="0"/>
    <w:pPr>
      <w:ind w:left="1260" w:leftChars="600"/>
    </w:pPr>
  </w:style>
  <w:style w:type="paragraph" w:styleId="12">
    <w:name w:val="toc 2"/>
    <w:basedOn w:val="1"/>
    <w:next w:val="1"/>
    <w:qFormat/>
    <w:uiPriority w:val="0"/>
    <w:pPr>
      <w:ind w:left="420" w:leftChars="200"/>
    </w:pPr>
  </w:style>
  <w:style w:type="paragraph" w:styleId="13">
    <w:name w:val="Normal (Web)"/>
    <w:basedOn w:val="1"/>
    <w:qFormat/>
    <w:uiPriority w:val="0"/>
    <w:rPr>
      <w:sz w:val="24"/>
    </w:rPr>
  </w:style>
  <w:style w:type="character" w:styleId="16">
    <w:name w:val="Strong"/>
    <w:basedOn w:val="15"/>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9.jpeg"/><Relationship Id="rId25" Type="http://schemas.openxmlformats.org/officeDocument/2006/relationships/image" Target="media/image18.jpeg"/><Relationship Id="rId24" Type="http://schemas.openxmlformats.org/officeDocument/2006/relationships/image" Target="media/image17.jpeg"/><Relationship Id="rId23" Type="http://schemas.openxmlformats.org/officeDocument/2006/relationships/image" Target="media/image16.jpeg"/><Relationship Id="rId22" Type="http://schemas.openxmlformats.org/officeDocument/2006/relationships/image" Target="media/image15.jpeg"/><Relationship Id="rId21" Type="http://schemas.openxmlformats.org/officeDocument/2006/relationships/image" Target="media/image14.jpe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46</Pages>
  <Words>28069</Words>
  <Characters>29617</Characters>
  <Lines>0</Lines>
  <Paragraphs>0</Paragraphs>
  <TotalTime>134</TotalTime>
  <ScaleCrop>false</ScaleCrop>
  <LinksUpToDate>false</LinksUpToDate>
  <CharactersWithSpaces>29887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2025-12-03T15:33:00Z</dcterms:created>
  <dc:creator>茜向</dc:creator>
  <cp:lastModifiedBy>茜向</cp:lastModifiedBy>
  <dcterms:modified xsi:type="dcterms:W3CDTF">2026-02-01T10:10:57Z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9A3BF64C1A8C4662949BD626275613A6_13</vt:lpwstr>
  </property>
  <property fmtid="{D5CDD505-2E9C-101B-9397-08002B2CF9AE}" pid="4" name="KSOTemplateDocerSaveRecord">
    <vt:lpwstr>eyJoZGlkIjoiNzI1MzljODBiNDliMzEyMzFlZWNlN2EzYjU0N2YzMWEiLCJ1c2VySWQiOiIxNDU4MjE3MDk4In0=</vt:lpwstr>
  </property>
</Properties>
</file>