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M300C_AN304C_红外LoRaWAN_LPP2通讯协议</w:t>
      </w:r>
    </w:p>
    <w:p>
      <w:r>
        <w:rPr>
          <w:sz w:val="40"/>
        </w:rPr>
        <w:t>一、整体说明</w:t>
      </w:r>
    </w:p>
    <w:p>
      <w:pPr>
        <w:ind w:firstLine="480"/>
      </w:pPr>
      <w:r>
        <w:t>使用Fport=210，数据以16进制上报</w:t>
      </w:r>
    </w:p>
    <w:p>
      <w:r>
        <w:br/>
      </w:r>
      <w:r>
        <w:rPr>
          <w:sz w:val="40"/>
        </w:rPr>
        <w:t>二、数据上报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属性/事件</w:t>
            </w:r>
          </w:p>
        </w:tc>
        <w:tc>
          <w:tcPr>
            <w:tcW w:type="dxa" w:w="2835"/>
          </w:tcPr>
          <w:p>
            <w:r>
              <w:t>字段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字节数</w:t>
            </w:r>
          </w:p>
        </w:tc>
        <w:tc>
          <w:tcPr>
            <w:tcW w:type="dxa" w:w="5669"/>
          </w:tcPr>
          <w:p>
            <w:r>
              <w:t>值</w:t>
            </w:r>
          </w:p>
        </w:tc>
      </w:tr>
      <w:tr>
        <w:tc>
          <w:tcPr>
            <w:tcW w:type="dxa" w:w="1728"/>
          </w:tcPr>
          <w:p>
            <w:r>
              <w:t>保留</w:t>
            </w:r>
          </w:p>
        </w:tc>
        <w:tc>
          <w:tcPr>
            <w:tcW w:type="dxa" w:w="1728"/>
          </w:tcPr>
          <w:p>
            <w:r>
              <w:t>保留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0x00</w:t>
            </w:r>
          </w:p>
        </w:tc>
      </w:tr>
      <w:tr>
        <w:tc>
          <w:tcPr>
            <w:tcW w:type="dxa" w:w="1728"/>
            <w:vMerge w:val="restart"/>
          </w:tcPr>
          <w:p>
            <w:r>
              <w:t>属性</w:t>
            </w:r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728"/>
            <w:vMerge w:val="restart"/>
          </w:tcPr>
          <w:p>
            <w:r>
              <w:t>产品型号ID</w:t>
            </w:r>
          </w:p>
          <w:p>
            <w:r/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0x01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0x04 (AN304)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 w:val="restart"/>
          </w:tcPr>
          <w:p>
            <w:r>
              <w:t>电池电压</w:t>
            </w:r>
          </w:p>
          <w:p>
            <w:r/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0x04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uint16，单位mV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 w:val="restart"/>
          </w:tcPr>
          <w:p>
            <w:r>
              <w:t>电池电压状态</w:t>
            </w:r>
          </w:p>
          <w:p>
            <w:r/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0x7d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0x00电池电压正常(normal)，0x01电池低电压(low battery)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 w:val="restart"/>
          </w:tcPr>
          <w:p>
            <w:r>
              <w:t>防拆状态</w:t>
            </w:r>
          </w:p>
          <w:p>
            <w:r/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0x77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0x00未拆开(no)，0x01拆开(yes)</w:t>
            </w:r>
          </w:p>
        </w:tc>
      </w:tr>
      <w:tr>
        <w:tc>
          <w:tcPr>
            <w:tcW w:type="dxa" w:w="1728"/>
            <w:vMerge w:val="restart"/>
          </w:tcPr>
          <w:p>
            <w:r>
              <w:t>事件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728"/>
            <w:vMerge w:val="restart"/>
          </w:tcPr>
          <w:p>
            <w:r>
              <w:t>电池低电压报警事件</w:t>
            </w:r>
          </w:p>
          <w:p>
            <w:r/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0x05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0x00电池电压正常(normal)，0x01电池低电压(low battery)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 w:val="restart"/>
          </w:tcPr>
          <w:p>
            <w:r>
              <w:t>防拆事件</w:t>
            </w:r>
          </w:p>
          <w:p>
            <w:r/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0x03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0x00未拆开(no)，0x01拆开(yes)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 w:val="restart"/>
          </w:tcPr>
          <w:p>
            <w:r>
              <w:t>红外事件</w:t>
            </w:r>
          </w:p>
          <w:p>
            <w:r/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0x17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0x00正常(normal), 0x01告警(alarm)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