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ACD241">
      <w:pPr>
        <w:spacing w:line="360" w:lineRule="auto"/>
        <w:rPr>
          <w:rFonts w:hint="default" w:ascii="Times New Roman" w:hAnsi="Times New Roman" w:cs="Times New Roman"/>
          <w:b/>
          <w:bCs/>
          <w:sz w:val="24"/>
        </w:rPr>
      </w:pPr>
      <w:r>
        <w:rPr>
          <w:rFonts w:hint="default" w:ascii="Times New Roman" w:hAnsi="Times New Roman" w:cs="Times New Roman"/>
          <w:b/>
          <w:bCs/>
          <w:sz w:val="24"/>
        </w:rPr>
        <w:t>Table I. Fixed-effect and landmark competing risks analysis of contralateral invasive breast cancer risk factors in ductal carcinoma in situ.</w:t>
      </w:r>
    </w:p>
    <w:p w14:paraId="2CD21726">
      <w:pPr>
        <w:keepNext w:val="0"/>
        <w:keepLines w:val="0"/>
        <w:widowControl w:val="0"/>
        <w:suppressLineNumbers w:val="0"/>
        <w:spacing w:before="0" w:beforeAutospacing="0" w:after="0" w:afterAutospacing="0" w:line="360" w:lineRule="auto"/>
        <w:ind w:left="0" w:right="0"/>
        <w:jc w:val="both"/>
        <w:rPr>
          <w:rFonts w:hint="default" w:ascii="Arial" w:hAnsi="Arial" w:cs="Arial"/>
          <w:szCs w:val="21"/>
          <w:lang w:val="en-US"/>
        </w:rPr>
      </w:pPr>
      <w:r>
        <w:rPr>
          <w:rFonts w:hint="default" w:ascii="Arial" w:hAnsi="Arial" w:eastAsia="宋体" w:cs="Arial"/>
          <w:kern w:val="2"/>
          <w:sz w:val="21"/>
          <w:szCs w:val="21"/>
          <w:lang w:val="en-US" w:eastAsia="zh-CN" w:bidi="ar"/>
        </w:rPr>
        <w:t>Abbreviation: HR: Hazard ratio; CI: confidence interval; ref: reference category; FDR</w:t>
      </w:r>
      <w:r>
        <w:rPr>
          <w:rFonts w:hint="default" w:ascii="Arial" w:hAnsi="Arial" w:eastAsia="宋体" w:cs="Arial"/>
          <w:kern w:val="2"/>
          <w:sz w:val="21"/>
          <w:szCs w:val="21"/>
          <w:lang w:val="en-US" w:eastAsia="zh-CN" w:bidi="ar"/>
        </w:rPr>
        <w:noBreakHyphen/>
      </w:r>
      <w:r>
        <w:rPr>
          <w:rFonts w:hint="default" w:ascii="Arial" w:hAnsi="Arial" w:eastAsia="宋体" w:cs="Arial"/>
          <w:kern w:val="2"/>
          <w:sz w:val="21"/>
          <w:szCs w:val="21"/>
          <w:lang w:val="en-US" w:eastAsia="zh-CN" w:bidi="ar"/>
        </w:rPr>
        <w:t>adjusted P: false discovery rate</w:t>
      </w:r>
      <w:r>
        <w:rPr>
          <w:rFonts w:hint="default" w:ascii="Arial" w:hAnsi="Arial" w:eastAsia="宋体" w:cs="Arial"/>
          <w:kern w:val="2"/>
          <w:sz w:val="21"/>
          <w:szCs w:val="21"/>
          <w:lang w:val="en-US" w:eastAsia="zh-CN" w:bidi="ar"/>
        </w:rPr>
        <w:noBreakHyphen/>
      </w:r>
      <w:r>
        <w:rPr>
          <w:rFonts w:hint="default" w:ascii="Arial" w:hAnsi="Arial" w:eastAsia="宋体" w:cs="Arial"/>
          <w:kern w:val="2"/>
          <w:sz w:val="21"/>
          <w:szCs w:val="21"/>
          <w:lang w:val="en-US" w:eastAsia="zh-CN" w:bidi="ar"/>
        </w:rPr>
        <w:t>adjusted P value; HR-: ER-negative and PR-negative; HR+ (ER+/PR+): ER-positive and PR-positive; HR+ (Other): positive for either ER or PR: but not both; HR Equivocal: neither ER nor PR was positive: with at least one being borderline or unknown.</w:t>
      </w:r>
    </w:p>
    <w:p w14:paraId="083754B4">
      <w:pPr>
        <w:keepNext w:val="0"/>
        <w:keepLines w:val="0"/>
        <w:widowControl w:val="0"/>
        <w:suppressLineNumbers w:val="0"/>
        <w:spacing w:before="0" w:beforeAutospacing="0" w:after="0" w:afterAutospacing="0" w:line="360" w:lineRule="auto"/>
        <w:ind w:left="0" w:right="0"/>
        <w:jc w:val="both"/>
        <w:rPr>
          <w:rFonts w:hint="default" w:ascii="Arial" w:hAnsi="Arial" w:cs="Arial"/>
          <w:szCs w:val="21"/>
          <w:lang w:val="en-US"/>
        </w:rPr>
      </w:pPr>
      <w:r>
        <w:rPr>
          <w:rFonts w:hint="default" w:ascii="Arial" w:hAnsi="Arial" w:eastAsia="宋体" w:cs="Arial"/>
          <w:kern w:val="2"/>
          <w:sz w:val="21"/>
          <w:szCs w:val="21"/>
          <w:lang w:val="en-US" w:eastAsia="zh-CN" w:bidi="ar"/>
        </w:rPr>
        <w:t xml:space="preserve">Notes: </w:t>
      </w:r>
      <w:r>
        <w:rPr>
          <w:rFonts w:hint="default" w:ascii="Arial" w:hAnsi="Arial" w:eastAsia="宋体" w:cs="Arial"/>
          <w:kern w:val="2"/>
          <w:sz w:val="21"/>
          <w:szCs w:val="21"/>
          <w:vertAlign w:val="superscript"/>
          <w:lang w:val="en-US" w:eastAsia="zh-CN" w:bidi="ar"/>
        </w:rPr>
        <w:t>1</w:t>
      </w:r>
      <w:r>
        <w:rPr>
          <w:rFonts w:hint="default" w:ascii="Arial" w:hAnsi="Arial" w:eastAsia="宋体" w:cs="Arial"/>
          <w:kern w:val="2"/>
          <w:sz w:val="21"/>
          <w:szCs w:val="21"/>
          <w:lang w:val="en-US" w:eastAsia="zh-CN" w:bidi="ar"/>
        </w:rPr>
        <w:t xml:space="preserve">Results from the second-round minimally-adjusted Fine-Gray competing-risks model. </w:t>
      </w:r>
      <w:r>
        <w:rPr>
          <w:rFonts w:hint="default" w:ascii="Arial" w:hAnsi="Arial" w:eastAsia="宋体" w:cs="Arial"/>
          <w:kern w:val="2"/>
          <w:sz w:val="21"/>
          <w:szCs w:val="21"/>
          <w:vertAlign w:val="superscript"/>
          <w:lang w:val="en-US" w:eastAsia="zh-CN" w:bidi="ar"/>
        </w:rPr>
        <w:t>2</w:t>
      </w:r>
      <w:r>
        <w:rPr>
          <w:rFonts w:hint="default" w:ascii="Arial" w:hAnsi="Arial" w:eastAsia="宋体" w:cs="Arial"/>
          <w:kern w:val="2"/>
          <w:sz w:val="21"/>
          <w:szCs w:val="21"/>
          <w:lang w:val="en-US" w:eastAsia="zh-CN" w:bidi="ar"/>
        </w:rPr>
        <w:t>Final multivariable Fine-Gray competing-risks model. Confounder-adjusted estimates for PSH-compliant variables were directly extracted from the final model. For PSH-violating variables, landmark competing-risks analyses were implemented at sHR(t) turning-points, obtaining subdistribution hazard ratios before and after the landmark cut-offs.</w:t>
      </w:r>
    </w:p>
    <w:p w14:paraId="2B345893">
      <w:pPr>
        <w:spacing w:line="360" w:lineRule="auto"/>
        <w:rPr>
          <w:rFonts w:hint="default" w:ascii="Times New Roman" w:hAnsi="Times New Roman" w:cs="Times New Roman"/>
          <w:b/>
          <w:bCs/>
          <w:sz w:val="24"/>
          <w:highlight w:val="green"/>
          <w:lang w:val="en-US" w:eastAsia="zh-CN"/>
        </w:rPr>
      </w:pPr>
    </w:p>
    <w:p w14:paraId="55DF67B4">
      <w:pPr>
        <w:spacing w:line="360" w:lineRule="auto"/>
        <w:rPr>
          <w:rFonts w:ascii="Times New Roman" w:hAnsi="Times New Roman" w:cs="Times New Roman"/>
          <w:b/>
          <w:bCs/>
          <w:sz w:val="24"/>
        </w:rPr>
      </w:pPr>
      <w:r>
        <w:rPr>
          <w:rFonts w:hint="eastAsia" w:ascii="Times New Roman" w:hAnsi="Times New Roman" w:cs="Times New Roman"/>
          <w:b/>
          <w:bCs/>
          <w:sz w:val="24"/>
        </w:rPr>
        <w:t>Supplementary Table 1. Screening and exclusion criteria for patients with invasive ductal carcinoma (IDC).</w:t>
      </w:r>
    </w:p>
    <w:p w14:paraId="3F0710E6">
      <w:pPr>
        <w:rPr>
          <w:rFonts w:hint="eastAsia"/>
          <w:lang w:val="en-US" w:eastAsia="zh-CN"/>
        </w:rPr>
      </w:pPr>
    </w:p>
    <w:p w14:paraId="117C14E7">
      <w:pPr>
        <w:spacing w:line="360" w:lineRule="auto"/>
        <w:rPr>
          <w:rFonts w:ascii="Times New Roman" w:hAnsi="Times New Roman" w:cs="Times New Roman"/>
          <w:b/>
          <w:bCs/>
          <w:sz w:val="24"/>
        </w:rPr>
      </w:pPr>
      <w:r>
        <w:rPr>
          <w:rFonts w:hint="eastAsia" w:ascii="Times New Roman" w:hAnsi="Times New Roman" w:cs="Times New Roman"/>
          <w:b/>
          <w:bCs/>
          <w:sz w:val="24"/>
        </w:rPr>
        <w:t>Supplementary Table 2. Screening and exclusion criteria for patients with ductal carcinoma in situ (DCIS).</w:t>
      </w:r>
    </w:p>
    <w:p w14:paraId="31D3D2F6"/>
    <w:p w14:paraId="6FD832CC">
      <w:pPr>
        <w:spacing w:line="360" w:lineRule="auto"/>
        <w:rPr>
          <w:rFonts w:ascii="Times New Roman" w:hAnsi="Times New Roman" w:cs="Times New Roman"/>
          <w:b/>
          <w:bCs/>
          <w:sz w:val="24"/>
        </w:rPr>
      </w:pPr>
      <w:r>
        <w:rPr>
          <w:rFonts w:hint="eastAsia" w:ascii="Times New Roman" w:hAnsi="Times New Roman" w:cs="Times New Roman"/>
          <w:b/>
          <w:bCs/>
          <w:sz w:val="24"/>
        </w:rPr>
        <w:t>Supplementary Table 3</w:t>
      </w:r>
      <w:r>
        <w:rPr>
          <w:rFonts w:ascii="Times New Roman" w:hAnsi="Times New Roman" w:cs="Times New Roman"/>
          <w:b/>
          <w:bCs/>
          <w:sz w:val="24"/>
        </w:rPr>
        <w:t>. Baseline characteristics of patients with invasive ductal carcinoma (IDC).</w:t>
      </w:r>
    </w:p>
    <w:p w14:paraId="02D7B989">
      <w:pPr>
        <w:spacing w:line="360" w:lineRule="auto"/>
        <w:jc w:val="left"/>
        <w:rPr>
          <w:rFonts w:ascii="Times New Roman" w:hAnsi="Times New Roman" w:cs="Times New Roman"/>
        </w:rPr>
      </w:pPr>
      <w:r>
        <w:rPr>
          <w:rFonts w:ascii="Times New Roman" w:hAnsi="Times New Roman" w:cs="Times New Roman"/>
        </w:rPr>
        <w:t>Note: continuous variables are presented as Mean (SD) and Median (IQR); categorical variables are presented as n (%).</w:t>
      </w:r>
    </w:p>
    <w:p w14:paraId="40B2FC61">
      <w:pPr>
        <w:widowControl/>
        <w:suppressAutoHyphens/>
        <w:kinsoku w:val="0"/>
        <w:overflowPunct w:val="0"/>
        <w:spacing w:line="360" w:lineRule="auto"/>
        <w:jc w:val="left"/>
        <w:rPr>
          <w:rFonts w:hint="default" w:ascii="Times New Roman" w:hAnsi="Times New Roman" w:cs="Times New Roman"/>
          <w:b/>
          <w:bCs/>
          <w:sz w:val="24"/>
        </w:rPr>
      </w:pPr>
      <w:r>
        <w:rPr>
          <w:rFonts w:ascii="Times New Roman" w:hAnsi="Times New Roman" w:cs="Times New Roman"/>
          <w:szCs w:val="21"/>
        </w:rPr>
        <w:t>Abbreviation:</w:t>
      </w:r>
      <w:r>
        <w:rPr>
          <w:rFonts w:hint="eastAsia" w:ascii="Times New Roman" w:hAnsi="Times New Roman" w:cs="Times New Roman"/>
          <w:szCs w:val="21"/>
        </w:rPr>
        <w:t xml:space="preserve"> </w:t>
      </w:r>
      <w:r>
        <w:rPr>
          <w:rFonts w:ascii="Times New Roman" w:hAnsi="Times New Roman" w:cs="Times New Roman"/>
          <w:szCs w:val="21"/>
        </w:rPr>
        <w:t xml:space="preserve">SD: </w:t>
      </w:r>
      <w:r>
        <w:rPr>
          <w:rFonts w:hint="eastAsia" w:ascii="Times New Roman" w:hAnsi="Times New Roman" w:cs="Times New Roman"/>
          <w:szCs w:val="21"/>
        </w:rPr>
        <w:t>s</w:t>
      </w:r>
      <w:r>
        <w:rPr>
          <w:rFonts w:ascii="Times New Roman" w:hAnsi="Times New Roman" w:cs="Times New Roman"/>
          <w:szCs w:val="21"/>
        </w:rPr>
        <w:t xml:space="preserve">tandard </w:t>
      </w:r>
      <w:r>
        <w:rPr>
          <w:rFonts w:hint="eastAsia" w:ascii="Times New Roman" w:hAnsi="Times New Roman" w:cs="Times New Roman"/>
          <w:szCs w:val="21"/>
        </w:rPr>
        <w:t>d</w:t>
      </w:r>
      <w:r>
        <w:rPr>
          <w:rFonts w:ascii="Times New Roman" w:hAnsi="Times New Roman" w:cs="Times New Roman"/>
          <w:szCs w:val="21"/>
        </w:rPr>
        <w:t xml:space="preserve">eviation; IQR: </w:t>
      </w:r>
      <w:r>
        <w:rPr>
          <w:rFonts w:hint="eastAsia" w:ascii="Times New Roman" w:hAnsi="Times New Roman" w:cs="Times New Roman"/>
          <w:szCs w:val="21"/>
        </w:rPr>
        <w:t>i</w:t>
      </w:r>
      <w:r>
        <w:rPr>
          <w:rFonts w:ascii="Times New Roman" w:hAnsi="Times New Roman" w:cs="Times New Roman"/>
          <w:szCs w:val="21"/>
        </w:rPr>
        <w:t xml:space="preserve">nterquartile </w:t>
      </w:r>
      <w:r>
        <w:rPr>
          <w:rFonts w:hint="eastAsia" w:ascii="Times New Roman" w:hAnsi="Times New Roman" w:cs="Times New Roman"/>
          <w:szCs w:val="21"/>
        </w:rPr>
        <w:t>r</w:t>
      </w:r>
      <w:r>
        <w:rPr>
          <w:rFonts w:ascii="Times New Roman" w:hAnsi="Times New Roman" w:cs="Times New Roman"/>
          <w:szCs w:val="21"/>
        </w:rPr>
        <w:t>ange</w:t>
      </w:r>
      <w:r>
        <w:rPr>
          <w:rFonts w:hint="eastAsia" w:ascii="Times New Roman" w:hAnsi="Times New Roman" w:cs="Times New Roman"/>
          <w:szCs w:val="21"/>
        </w:rPr>
        <w:t xml:space="preserve">; </w:t>
      </w:r>
      <w:r>
        <w:rPr>
          <w:rFonts w:ascii="Times New Roman" w:hAnsi="Times New Roman" w:cs="Times New Roman"/>
          <w:szCs w:val="21"/>
        </w:rPr>
        <w:t>CIBC:</w:t>
      </w:r>
      <w:r>
        <w:rPr>
          <w:rFonts w:hint="eastAsia" w:ascii="Times New Roman" w:hAnsi="Times New Roman" w:cs="Times New Roman"/>
          <w:szCs w:val="21"/>
        </w:rPr>
        <w:t xml:space="preserve"> c</w:t>
      </w:r>
      <w:r>
        <w:rPr>
          <w:rFonts w:ascii="Times New Roman" w:hAnsi="Times New Roman" w:cs="Times New Roman"/>
          <w:szCs w:val="21"/>
        </w:rPr>
        <w:t xml:space="preserve">ontralateral </w:t>
      </w:r>
      <w:r>
        <w:rPr>
          <w:rFonts w:hint="eastAsia" w:ascii="Times New Roman" w:hAnsi="Times New Roman" w:cs="Times New Roman"/>
          <w:szCs w:val="21"/>
        </w:rPr>
        <w:t>i</w:t>
      </w:r>
      <w:r>
        <w:rPr>
          <w:rFonts w:ascii="Times New Roman" w:hAnsi="Times New Roman" w:cs="Times New Roman"/>
          <w:szCs w:val="21"/>
        </w:rPr>
        <w:t xml:space="preserve">nvasive </w:t>
      </w:r>
      <w:r>
        <w:rPr>
          <w:rFonts w:hint="eastAsia" w:ascii="Times New Roman" w:hAnsi="Times New Roman" w:cs="Times New Roman"/>
          <w:szCs w:val="21"/>
        </w:rPr>
        <w:t>b</w:t>
      </w:r>
      <w:r>
        <w:rPr>
          <w:rFonts w:ascii="Times New Roman" w:hAnsi="Times New Roman" w:cs="Times New Roman"/>
          <w:szCs w:val="21"/>
        </w:rPr>
        <w:t xml:space="preserve">reast </w:t>
      </w:r>
      <w:r>
        <w:rPr>
          <w:rFonts w:hint="eastAsia" w:ascii="Times New Roman" w:hAnsi="Times New Roman" w:cs="Times New Roman"/>
          <w:szCs w:val="21"/>
        </w:rPr>
        <w:t>c</w:t>
      </w:r>
      <w:r>
        <w:rPr>
          <w:rFonts w:ascii="Times New Roman" w:hAnsi="Times New Roman" w:cs="Times New Roman"/>
          <w:szCs w:val="21"/>
        </w:rPr>
        <w:t>ancer</w:t>
      </w:r>
      <w:r>
        <w:rPr>
          <w:rFonts w:hint="eastAsia" w:ascii="Times New Roman" w:hAnsi="Times New Roman" w:cs="Times New Roman"/>
          <w:szCs w:val="21"/>
        </w:rPr>
        <w:t>;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0D393B74">
      <w:pPr>
        <w:rPr>
          <w:rFonts w:hint="default"/>
          <w:lang w:val="en-US" w:eastAsia="zh-CN"/>
        </w:rPr>
      </w:pPr>
    </w:p>
    <w:p w14:paraId="3C9DADC6">
      <w:pPr>
        <w:spacing w:line="360" w:lineRule="auto"/>
        <w:rPr>
          <w:rFonts w:hint="eastAsia" w:ascii="Times New Roman" w:hAnsi="Times New Roman" w:cs="Times New Roman"/>
          <w:b/>
          <w:bCs/>
          <w:sz w:val="24"/>
        </w:rPr>
      </w:pPr>
      <w:r>
        <w:rPr>
          <w:rFonts w:hint="eastAsia" w:ascii="Times New Roman" w:hAnsi="Times New Roman" w:cs="Times New Roman"/>
          <w:b/>
          <w:bCs/>
          <w:sz w:val="24"/>
        </w:rPr>
        <w:t>Supplementary Table 4. Baseline characteristics of Black and White patients with invasive ductal carcinoma (IDC).</w:t>
      </w:r>
    </w:p>
    <w:p w14:paraId="35E98B51">
      <w:pPr>
        <w:spacing w:line="360" w:lineRule="auto"/>
        <w:jc w:val="left"/>
        <w:rPr>
          <w:rFonts w:ascii="Times New Roman" w:hAnsi="Times New Roman" w:cs="Times New Roman"/>
        </w:rPr>
      </w:pPr>
      <w:r>
        <w:rPr>
          <w:rFonts w:ascii="Times New Roman" w:hAnsi="Times New Roman" w:cs="Times New Roman"/>
        </w:rPr>
        <w:t>Note: continuous variables are presented as Mean (SD) and Median (IQR); categorical variables are presented as n (%).</w:t>
      </w:r>
    </w:p>
    <w:p w14:paraId="6B68A8F5">
      <w:pPr>
        <w:widowControl/>
        <w:suppressAutoHyphens/>
        <w:kinsoku w:val="0"/>
        <w:overflowPunct w:val="0"/>
        <w:spacing w:line="360" w:lineRule="auto"/>
        <w:jc w:val="left"/>
        <w:rPr>
          <w:rFonts w:hint="eastAsia" w:ascii="Times New Roman" w:hAnsi="Times New Roman" w:cs="Times New Roman"/>
          <w:szCs w:val="21"/>
        </w:rPr>
      </w:pPr>
      <w:r>
        <w:rPr>
          <w:rFonts w:ascii="Times New Roman" w:hAnsi="Times New Roman" w:cs="Times New Roman"/>
          <w:szCs w:val="21"/>
        </w:rPr>
        <w:t>Abbreviation:</w:t>
      </w:r>
      <w:r>
        <w:rPr>
          <w:rFonts w:hint="eastAsia" w:ascii="Times New Roman" w:hAnsi="Times New Roman" w:cs="Times New Roman"/>
          <w:szCs w:val="21"/>
        </w:rPr>
        <w:t xml:space="preserve"> </w:t>
      </w:r>
      <w:r>
        <w:rPr>
          <w:rFonts w:ascii="Times New Roman" w:hAnsi="Times New Roman" w:cs="Times New Roman"/>
          <w:szCs w:val="21"/>
        </w:rPr>
        <w:t xml:space="preserve">SD: </w:t>
      </w:r>
      <w:r>
        <w:rPr>
          <w:rFonts w:hint="eastAsia" w:ascii="Times New Roman" w:hAnsi="Times New Roman" w:cs="Times New Roman"/>
          <w:szCs w:val="21"/>
        </w:rPr>
        <w:t>s</w:t>
      </w:r>
      <w:r>
        <w:rPr>
          <w:rFonts w:ascii="Times New Roman" w:hAnsi="Times New Roman" w:cs="Times New Roman"/>
          <w:szCs w:val="21"/>
        </w:rPr>
        <w:t xml:space="preserve">tandard </w:t>
      </w:r>
      <w:r>
        <w:rPr>
          <w:rFonts w:hint="eastAsia" w:ascii="Times New Roman" w:hAnsi="Times New Roman" w:cs="Times New Roman"/>
          <w:szCs w:val="21"/>
        </w:rPr>
        <w:t>d</w:t>
      </w:r>
      <w:r>
        <w:rPr>
          <w:rFonts w:ascii="Times New Roman" w:hAnsi="Times New Roman" w:cs="Times New Roman"/>
          <w:szCs w:val="21"/>
        </w:rPr>
        <w:t xml:space="preserve">eviation; IQR: </w:t>
      </w:r>
      <w:r>
        <w:rPr>
          <w:rFonts w:hint="eastAsia" w:ascii="Times New Roman" w:hAnsi="Times New Roman" w:cs="Times New Roman"/>
          <w:szCs w:val="21"/>
        </w:rPr>
        <w:t>i</w:t>
      </w:r>
      <w:r>
        <w:rPr>
          <w:rFonts w:ascii="Times New Roman" w:hAnsi="Times New Roman" w:cs="Times New Roman"/>
          <w:szCs w:val="21"/>
        </w:rPr>
        <w:t xml:space="preserve">nterquartile </w:t>
      </w:r>
      <w:r>
        <w:rPr>
          <w:rFonts w:hint="eastAsia" w:ascii="Times New Roman" w:hAnsi="Times New Roman" w:cs="Times New Roman"/>
          <w:szCs w:val="21"/>
        </w:rPr>
        <w:t>r</w:t>
      </w:r>
      <w:r>
        <w:rPr>
          <w:rFonts w:ascii="Times New Roman" w:hAnsi="Times New Roman" w:cs="Times New Roman"/>
          <w:szCs w:val="21"/>
        </w:rPr>
        <w:t>ange</w:t>
      </w:r>
      <w:r>
        <w:rPr>
          <w:rFonts w:hint="eastAsia" w:ascii="Times New Roman" w:hAnsi="Times New Roman" w:cs="Times New Roman"/>
          <w:szCs w:val="21"/>
        </w:rPr>
        <w:t xml:space="preserve">; </w:t>
      </w:r>
      <w:r>
        <w:rPr>
          <w:rFonts w:ascii="Times New Roman" w:hAnsi="Times New Roman" w:cs="Times New Roman"/>
          <w:szCs w:val="21"/>
        </w:rPr>
        <w:t>CIBC:</w:t>
      </w:r>
      <w:r>
        <w:rPr>
          <w:rFonts w:hint="eastAsia" w:ascii="Times New Roman" w:hAnsi="Times New Roman" w:cs="Times New Roman"/>
          <w:szCs w:val="21"/>
        </w:rPr>
        <w:t xml:space="preserve"> c</w:t>
      </w:r>
      <w:r>
        <w:rPr>
          <w:rFonts w:ascii="Times New Roman" w:hAnsi="Times New Roman" w:cs="Times New Roman"/>
          <w:szCs w:val="21"/>
        </w:rPr>
        <w:t xml:space="preserve">ontralateral </w:t>
      </w:r>
      <w:r>
        <w:rPr>
          <w:rFonts w:hint="eastAsia" w:ascii="Times New Roman" w:hAnsi="Times New Roman" w:cs="Times New Roman"/>
          <w:szCs w:val="21"/>
        </w:rPr>
        <w:t>i</w:t>
      </w:r>
      <w:r>
        <w:rPr>
          <w:rFonts w:ascii="Times New Roman" w:hAnsi="Times New Roman" w:cs="Times New Roman"/>
          <w:szCs w:val="21"/>
        </w:rPr>
        <w:t xml:space="preserve">nvasive </w:t>
      </w:r>
      <w:r>
        <w:rPr>
          <w:rFonts w:hint="eastAsia" w:ascii="Times New Roman" w:hAnsi="Times New Roman" w:cs="Times New Roman"/>
          <w:szCs w:val="21"/>
        </w:rPr>
        <w:t>b</w:t>
      </w:r>
      <w:r>
        <w:rPr>
          <w:rFonts w:ascii="Times New Roman" w:hAnsi="Times New Roman" w:cs="Times New Roman"/>
          <w:szCs w:val="21"/>
        </w:rPr>
        <w:t xml:space="preserve">reast </w:t>
      </w:r>
      <w:r>
        <w:rPr>
          <w:rFonts w:hint="eastAsia" w:ascii="Times New Roman" w:hAnsi="Times New Roman" w:cs="Times New Roman"/>
          <w:szCs w:val="21"/>
        </w:rPr>
        <w:t>c</w:t>
      </w:r>
      <w:r>
        <w:rPr>
          <w:rFonts w:ascii="Times New Roman" w:hAnsi="Times New Roman" w:cs="Times New Roman"/>
          <w:szCs w:val="21"/>
        </w:rPr>
        <w:t>ancer</w:t>
      </w:r>
      <w:r>
        <w:rPr>
          <w:rFonts w:hint="eastAsia" w:ascii="Times New Roman" w:hAnsi="Times New Roman" w:cs="Times New Roman"/>
          <w:szCs w:val="21"/>
        </w:rPr>
        <w:t>;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666A4C88">
      <w:pPr>
        <w:widowControl/>
        <w:suppressAutoHyphens/>
        <w:kinsoku w:val="0"/>
        <w:overflowPunct w:val="0"/>
        <w:spacing w:line="360" w:lineRule="auto"/>
        <w:jc w:val="left"/>
        <w:rPr>
          <w:rFonts w:hint="default" w:ascii="Times New Roman" w:hAnsi="Times New Roman" w:cs="Times New Roman" w:eastAsiaTheme="minorEastAsia"/>
          <w:szCs w:val="21"/>
          <w:lang w:val="en-US" w:eastAsia="zh-CN"/>
        </w:rPr>
      </w:pPr>
      <w:r>
        <w:rPr>
          <w:rFonts w:hint="eastAsia" w:ascii="Times New Roman" w:hAnsi="Times New Roman" w:cs="Times New Roman"/>
          <w:szCs w:val="21"/>
          <w:lang w:val="en-US" w:eastAsia="zh-CN"/>
        </w:rPr>
        <w:t>Note: Figure 4 presents confounder-adjusted cumulative incidence curves only for variables violating the proportional subdistribution hazard (PSH) assumption. Variables satisfying the PSH assumption (age 51-60, N1 lymph node metastasis) are not shown.</w:t>
      </w:r>
    </w:p>
    <w:p w14:paraId="175E101C">
      <w:pPr>
        <w:rPr>
          <w:rFonts w:hint="default"/>
          <w:lang w:val="en-US" w:eastAsia="zh-CN"/>
        </w:rPr>
      </w:pPr>
    </w:p>
    <w:p w14:paraId="61D693B3">
      <w:pPr>
        <w:spacing w:line="360" w:lineRule="auto"/>
        <w:rPr>
          <w:rFonts w:hint="eastAsia" w:ascii="Times New Roman" w:hAnsi="Times New Roman" w:cs="Times New Roman"/>
          <w:b/>
          <w:bCs/>
          <w:sz w:val="24"/>
        </w:rPr>
      </w:pPr>
      <w:r>
        <w:rPr>
          <w:rFonts w:hint="eastAsia" w:ascii="Times New Roman" w:hAnsi="Times New Roman" w:cs="Times New Roman"/>
          <w:b/>
          <w:bCs/>
          <w:sz w:val="24"/>
        </w:rPr>
        <w:t>Supplementary Table 5. Baseline characteristics of patients with ductal carcinoma in situ (DCIS).</w:t>
      </w:r>
    </w:p>
    <w:p w14:paraId="27355BE8">
      <w:pPr>
        <w:spacing w:line="360" w:lineRule="auto"/>
        <w:jc w:val="left"/>
        <w:rPr>
          <w:rFonts w:ascii="Times New Roman" w:hAnsi="Times New Roman" w:cs="Times New Roman"/>
        </w:rPr>
      </w:pPr>
      <w:r>
        <w:rPr>
          <w:rFonts w:ascii="Times New Roman" w:hAnsi="Times New Roman" w:cs="Times New Roman"/>
        </w:rPr>
        <w:t>Note: continuous variables are presented as Mean (SD) and Median (IQR); categorical variables are presented as n (%).</w:t>
      </w:r>
    </w:p>
    <w:p w14:paraId="422C37D6">
      <w:pPr>
        <w:widowControl/>
        <w:suppressAutoHyphens/>
        <w:kinsoku w:val="0"/>
        <w:overflowPunct w:val="0"/>
        <w:spacing w:line="360" w:lineRule="auto"/>
        <w:jc w:val="left"/>
        <w:rPr>
          <w:rFonts w:hint="default" w:ascii="Times New Roman" w:hAnsi="Times New Roman" w:cs="Times New Roman"/>
          <w:b/>
          <w:bCs/>
          <w:sz w:val="24"/>
        </w:rPr>
      </w:pPr>
      <w:r>
        <w:rPr>
          <w:rFonts w:ascii="Times New Roman" w:hAnsi="Times New Roman" w:cs="Times New Roman"/>
          <w:szCs w:val="21"/>
        </w:rPr>
        <w:t>Abbreviation:</w:t>
      </w:r>
      <w:r>
        <w:rPr>
          <w:rFonts w:hint="eastAsia" w:ascii="Times New Roman" w:hAnsi="Times New Roman" w:cs="Times New Roman"/>
          <w:szCs w:val="21"/>
        </w:rPr>
        <w:t xml:space="preserve"> </w:t>
      </w:r>
      <w:r>
        <w:rPr>
          <w:rFonts w:ascii="Times New Roman" w:hAnsi="Times New Roman" w:cs="Times New Roman"/>
          <w:szCs w:val="21"/>
        </w:rPr>
        <w:t xml:space="preserve">SD: </w:t>
      </w:r>
      <w:r>
        <w:rPr>
          <w:rFonts w:hint="eastAsia" w:ascii="Times New Roman" w:hAnsi="Times New Roman" w:cs="Times New Roman"/>
          <w:szCs w:val="21"/>
        </w:rPr>
        <w:t>s</w:t>
      </w:r>
      <w:r>
        <w:rPr>
          <w:rFonts w:ascii="Times New Roman" w:hAnsi="Times New Roman" w:cs="Times New Roman"/>
          <w:szCs w:val="21"/>
        </w:rPr>
        <w:t xml:space="preserve">tandard </w:t>
      </w:r>
      <w:r>
        <w:rPr>
          <w:rFonts w:hint="eastAsia" w:ascii="Times New Roman" w:hAnsi="Times New Roman" w:cs="Times New Roman"/>
          <w:szCs w:val="21"/>
        </w:rPr>
        <w:t>d</w:t>
      </w:r>
      <w:r>
        <w:rPr>
          <w:rFonts w:ascii="Times New Roman" w:hAnsi="Times New Roman" w:cs="Times New Roman"/>
          <w:szCs w:val="21"/>
        </w:rPr>
        <w:t xml:space="preserve">eviation; IQR: </w:t>
      </w:r>
      <w:r>
        <w:rPr>
          <w:rFonts w:hint="eastAsia" w:ascii="Times New Roman" w:hAnsi="Times New Roman" w:cs="Times New Roman"/>
          <w:szCs w:val="21"/>
        </w:rPr>
        <w:t>i</w:t>
      </w:r>
      <w:r>
        <w:rPr>
          <w:rFonts w:ascii="Times New Roman" w:hAnsi="Times New Roman" w:cs="Times New Roman"/>
          <w:szCs w:val="21"/>
        </w:rPr>
        <w:t xml:space="preserve">nterquartile </w:t>
      </w:r>
      <w:r>
        <w:rPr>
          <w:rFonts w:hint="eastAsia" w:ascii="Times New Roman" w:hAnsi="Times New Roman" w:cs="Times New Roman"/>
          <w:szCs w:val="21"/>
        </w:rPr>
        <w:t>r</w:t>
      </w:r>
      <w:r>
        <w:rPr>
          <w:rFonts w:ascii="Times New Roman" w:hAnsi="Times New Roman" w:cs="Times New Roman"/>
          <w:szCs w:val="21"/>
        </w:rPr>
        <w:t>ange</w:t>
      </w:r>
      <w:r>
        <w:rPr>
          <w:rFonts w:hint="eastAsia" w:ascii="Times New Roman" w:hAnsi="Times New Roman" w:cs="Times New Roman"/>
          <w:szCs w:val="21"/>
        </w:rPr>
        <w:t xml:space="preserve">; </w:t>
      </w:r>
      <w:r>
        <w:rPr>
          <w:rFonts w:ascii="Times New Roman" w:hAnsi="Times New Roman" w:cs="Times New Roman"/>
          <w:szCs w:val="21"/>
        </w:rPr>
        <w:t>CIBC:</w:t>
      </w:r>
      <w:r>
        <w:rPr>
          <w:rFonts w:hint="eastAsia" w:ascii="Times New Roman" w:hAnsi="Times New Roman" w:cs="Times New Roman"/>
          <w:szCs w:val="21"/>
        </w:rPr>
        <w:t xml:space="preserve"> c</w:t>
      </w:r>
      <w:r>
        <w:rPr>
          <w:rFonts w:ascii="Times New Roman" w:hAnsi="Times New Roman" w:cs="Times New Roman"/>
          <w:szCs w:val="21"/>
        </w:rPr>
        <w:t xml:space="preserve">ontralateral </w:t>
      </w:r>
      <w:r>
        <w:rPr>
          <w:rFonts w:hint="eastAsia" w:ascii="Times New Roman" w:hAnsi="Times New Roman" w:cs="Times New Roman"/>
          <w:szCs w:val="21"/>
        </w:rPr>
        <w:t>i</w:t>
      </w:r>
      <w:r>
        <w:rPr>
          <w:rFonts w:ascii="Times New Roman" w:hAnsi="Times New Roman" w:cs="Times New Roman"/>
          <w:szCs w:val="21"/>
        </w:rPr>
        <w:t xml:space="preserve">nvasive </w:t>
      </w:r>
      <w:r>
        <w:rPr>
          <w:rFonts w:hint="eastAsia" w:ascii="Times New Roman" w:hAnsi="Times New Roman" w:cs="Times New Roman"/>
          <w:szCs w:val="21"/>
        </w:rPr>
        <w:t>b</w:t>
      </w:r>
      <w:r>
        <w:rPr>
          <w:rFonts w:ascii="Times New Roman" w:hAnsi="Times New Roman" w:cs="Times New Roman"/>
          <w:szCs w:val="21"/>
        </w:rPr>
        <w:t xml:space="preserve">reast </w:t>
      </w:r>
      <w:r>
        <w:rPr>
          <w:rFonts w:hint="eastAsia" w:ascii="Times New Roman" w:hAnsi="Times New Roman" w:cs="Times New Roman"/>
          <w:szCs w:val="21"/>
        </w:rPr>
        <w:t>c</w:t>
      </w:r>
      <w:r>
        <w:rPr>
          <w:rFonts w:ascii="Times New Roman" w:hAnsi="Times New Roman" w:cs="Times New Roman"/>
          <w:szCs w:val="21"/>
        </w:rPr>
        <w:t>ancer</w:t>
      </w:r>
      <w:r>
        <w:rPr>
          <w:rFonts w:hint="eastAsia" w:ascii="Times New Roman" w:hAnsi="Times New Roman" w:cs="Times New Roman"/>
          <w:szCs w:val="21"/>
        </w:rPr>
        <w:t>;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78340C48"/>
    <w:p w14:paraId="46601A58">
      <w:pPr>
        <w:spacing w:line="360" w:lineRule="auto"/>
        <w:rPr>
          <w:rFonts w:hint="eastAsia" w:ascii="Times New Roman" w:hAnsi="Times New Roman" w:cs="Times New Roman"/>
          <w:b/>
          <w:bCs/>
          <w:sz w:val="24"/>
        </w:rPr>
      </w:pPr>
      <w:r>
        <w:rPr>
          <w:rFonts w:hint="eastAsia" w:ascii="Times New Roman" w:hAnsi="Times New Roman" w:cs="Times New Roman"/>
          <w:b/>
          <w:bCs/>
          <w:sz w:val="24"/>
        </w:rPr>
        <w:t>Supplementary Table 6. Baseline characteristics of Black and White patients with ductal carcinoma in situ (DCIS).</w:t>
      </w:r>
    </w:p>
    <w:p w14:paraId="0B465D00">
      <w:pPr>
        <w:spacing w:line="360" w:lineRule="auto"/>
        <w:jc w:val="left"/>
        <w:rPr>
          <w:rFonts w:ascii="Times New Roman" w:hAnsi="Times New Roman" w:cs="Times New Roman"/>
        </w:rPr>
      </w:pPr>
      <w:r>
        <w:rPr>
          <w:rFonts w:ascii="Times New Roman" w:hAnsi="Times New Roman" w:cs="Times New Roman"/>
        </w:rPr>
        <w:t>Note: continuous variables are presented as Mean (SD) and Median (IQR); categorical variables are presented as n (%).</w:t>
      </w:r>
    </w:p>
    <w:p w14:paraId="530B6A8C">
      <w:pPr>
        <w:widowControl/>
        <w:suppressAutoHyphens/>
        <w:kinsoku w:val="0"/>
        <w:overflowPunct w:val="0"/>
        <w:spacing w:line="360" w:lineRule="auto"/>
        <w:jc w:val="left"/>
        <w:rPr>
          <w:rFonts w:hint="default" w:ascii="Times New Roman" w:hAnsi="Times New Roman" w:cs="Times New Roman"/>
          <w:b/>
          <w:bCs/>
          <w:sz w:val="24"/>
        </w:rPr>
      </w:pPr>
      <w:r>
        <w:rPr>
          <w:rFonts w:ascii="Times New Roman" w:hAnsi="Times New Roman" w:cs="Times New Roman"/>
          <w:szCs w:val="21"/>
        </w:rPr>
        <w:t>Abbreviation:</w:t>
      </w:r>
      <w:r>
        <w:rPr>
          <w:rFonts w:hint="eastAsia" w:ascii="Times New Roman" w:hAnsi="Times New Roman" w:cs="Times New Roman"/>
          <w:szCs w:val="21"/>
        </w:rPr>
        <w:t xml:space="preserve"> </w:t>
      </w:r>
      <w:r>
        <w:rPr>
          <w:rFonts w:ascii="Times New Roman" w:hAnsi="Times New Roman" w:cs="Times New Roman"/>
          <w:szCs w:val="21"/>
        </w:rPr>
        <w:t xml:space="preserve">SD: </w:t>
      </w:r>
      <w:r>
        <w:rPr>
          <w:rFonts w:hint="eastAsia" w:ascii="Times New Roman" w:hAnsi="Times New Roman" w:cs="Times New Roman"/>
          <w:szCs w:val="21"/>
        </w:rPr>
        <w:t>s</w:t>
      </w:r>
      <w:r>
        <w:rPr>
          <w:rFonts w:ascii="Times New Roman" w:hAnsi="Times New Roman" w:cs="Times New Roman"/>
          <w:szCs w:val="21"/>
        </w:rPr>
        <w:t xml:space="preserve">tandard </w:t>
      </w:r>
      <w:r>
        <w:rPr>
          <w:rFonts w:hint="eastAsia" w:ascii="Times New Roman" w:hAnsi="Times New Roman" w:cs="Times New Roman"/>
          <w:szCs w:val="21"/>
        </w:rPr>
        <w:t>d</w:t>
      </w:r>
      <w:r>
        <w:rPr>
          <w:rFonts w:ascii="Times New Roman" w:hAnsi="Times New Roman" w:cs="Times New Roman"/>
          <w:szCs w:val="21"/>
        </w:rPr>
        <w:t xml:space="preserve">eviation; IQR: </w:t>
      </w:r>
      <w:r>
        <w:rPr>
          <w:rFonts w:hint="eastAsia" w:ascii="Times New Roman" w:hAnsi="Times New Roman" w:cs="Times New Roman"/>
          <w:szCs w:val="21"/>
        </w:rPr>
        <w:t>i</w:t>
      </w:r>
      <w:r>
        <w:rPr>
          <w:rFonts w:ascii="Times New Roman" w:hAnsi="Times New Roman" w:cs="Times New Roman"/>
          <w:szCs w:val="21"/>
        </w:rPr>
        <w:t xml:space="preserve">nterquartile </w:t>
      </w:r>
      <w:r>
        <w:rPr>
          <w:rFonts w:hint="eastAsia" w:ascii="Times New Roman" w:hAnsi="Times New Roman" w:cs="Times New Roman"/>
          <w:szCs w:val="21"/>
        </w:rPr>
        <w:t>r</w:t>
      </w:r>
      <w:r>
        <w:rPr>
          <w:rFonts w:ascii="Times New Roman" w:hAnsi="Times New Roman" w:cs="Times New Roman"/>
          <w:szCs w:val="21"/>
        </w:rPr>
        <w:t>ange</w:t>
      </w:r>
      <w:r>
        <w:rPr>
          <w:rFonts w:hint="eastAsia" w:ascii="Times New Roman" w:hAnsi="Times New Roman" w:cs="Times New Roman"/>
          <w:szCs w:val="21"/>
        </w:rPr>
        <w:t xml:space="preserve">; </w:t>
      </w:r>
      <w:r>
        <w:rPr>
          <w:rFonts w:ascii="Times New Roman" w:hAnsi="Times New Roman" w:cs="Times New Roman"/>
          <w:szCs w:val="21"/>
        </w:rPr>
        <w:t>CIBC:</w:t>
      </w:r>
      <w:r>
        <w:rPr>
          <w:rFonts w:hint="eastAsia" w:ascii="Times New Roman" w:hAnsi="Times New Roman" w:cs="Times New Roman"/>
          <w:szCs w:val="21"/>
        </w:rPr>
        <w:t xml:space="preserve"> c</w:t>
      </w:r>
      <w:r>
        <w:rPr>
          <w:rFonts w:ascii="Times New Roman" w:hAnsi="Times New Roman" w:cs="Times New Roman"/>
          <w:szCs w:val="21"/>
        </w:rPr>
        <w:t xml:space="preserve">ontralateral </w:t>
      </w:r>
      <w:r>
        <w:rPr>
          <w:rFonts w:hint="eastAsia" w:ascii="Times New Roman" w:hAnsi="Times New Roman" w:cs="Times New Roman"/>
          <w:szCs w:val="21"/>
        </w:rPr>
        <w:t>i</w:t>
      </w:r>
      <w:r>
        <w:rPr>
          <w:rFonts w:ascii="Times New Roman" w:hAnsi="Times New Roman" w:cs="Times New Roman"/>
          <w:szCs w:val="21"/>
        </w:rPr>
        <w:t xml:space="preserve">nvasive </w:t>
      </w:r>
      <w:r>
        <w:rPr>
          <w:rFonts w:hint="eastAsia" w:ascii="Times New Roman" w:hAnsi="Times New Roman" w:cs="Times New Roman"/>
          <w:szCs w:val="21"/>
        </w:rPr>
        <w:t>b</w:t>
      </w:r>
      <w:r>
        <w:rPr>
          <w:rFonts w:ascii="Times New Roman" w:hAnsi="Times New Roman" w:cs="Times New Roman"/>
          <w:szCs w:val="21"/>
        </w:rPr>
        <w:t xml:space="preserve">reast </w:t>
      </w:r>
      <w:r>
        <w:rPr>
          <w:rFonts w:hint="eastAsia" w:ascii="Times New Roman" w:hAnsi="Times New Roman" w:cs="Times New Roman"/>
          <w:szCs w:val="21"/>
        </w:rPr>
        <w:t>c</w:t>
      </w:r>
      <w:r>
        <w:rPr>
          <w:rFonts w:ascii="Times New Roman" w:hAnsi="Times New Roman" w:cs="Times New Roman"/>
          <w:szCs w:val="21"/>
        </w:rPr>
        <w:t>ancer</w:t>
      </w:r>
      <w:r>
        <w:rPr>
          <w:rFonts w:hint="eastAsia" w:ascii="Times New Roman" w:hAnsi="Times New Roman" w:cs="Times New Roman"/>
          <w:szCs w:val="21"/>
        </w:rPr>
        <w:t>;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1FB44E03"/>
    <w:p w14:paraId="200D3AA6">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7. First</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round minimally adjusted Fine-Gray competing risks analysis of candidate variables for CIBC in patients with DCIS.</w:t>
      </w:r>
    </w:p>
    <w:p w14:paraId="31A3FABD">
      <w:pPr>
        <w:widowControl/>
        <w:suppressAutoHyphens/>
        <w:kinsoku w:val="0"/>
        <w:overflowPunct w:val="0"/>
        <w:spacing w:line="360" w:lineRule="auto"/>
        <w:jc w:val="left"/>
        <w:rPr>
          <w:rFonts w:hint="default" w:ascii="Times New Roman" w:hAnsi="Times New Roman" w:cs="Times New Roman"/>
          <w:b/>
          <w:bCs/>
          <w:sz w:val="24"/>
          <w:highlight w:val="none"/>
        </w:rPr>
      </w:pPr>
      <w:r>
        <w:rPr>
          <w:rFonts w:hint="eastAsia" w:ascii="Times New Roman" w:hAnsi="Times New Roman" w:cs="Times New Roman"/>
          <w:szCs w:val="21"/>
        </w:rPr>
        <w:t>Abbreviation: HR: hazard ratio; CI: confidence interval; ref: reference category; CIBC: contralateral invasive breast cancer; DCIS: ductal carcinoma in situ;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5D07C0C1">
      <w:pPr>
        <w:rPr>
          <w:rFonts w:hint="default"/>
          <w:highlight w:val="darkYellow"/>
          <w:lang w:val="en-US" w:eastAsia="zh-CN"/>
        </w:rPr>
      </w:pPr>
    </w:p>
    <w:p w14:paraId="068C8F3D">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8. Second</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round minimally adjusted Fine-Gray competing risks analysis of candidate variables for CIBC in patients with DCIS.</w:t>
      </w:r>
    </w:p>
    <w:p w14:paraId="6061F529">
      <w:pPr>
        <w:widowControl/>
        <w:suppressAutoHyphens/>
        <w:kinsoku w:val="0"/>
        <w:overflowPunct w:val="0"/>
        <w:spacing w:line="360" w:lineRule="auto"/>
        <w:jc w:val="left"/>
        <w:rPr>
          <w:rFonts w:hint="default" w:ascii="Times New Roman" w:hAnsi="Times New Roman" w:cs="Times New Roman"/>
          <w:b/>
          <w:bCs/>
          <w:sz w:val="24"/>
          <w:highlight w:val="none"/>
        </w:rPr>
      </w:pPr>
      <w:r>
        <w:rPr>
          <w:rFonts w:hint="eastAsia" w:ascii="Times New Roman" w:hAnsi="Times New Roman" w:cs="Times New Roman"/>
          <w:szCs w:val="21"/>
        </w:rPr>
        <w:t>Abbreviation: HR: hazard ratio; CI: confidence interval; ref: reference category; CIBC: contralateral invasive breast cancer; DCIS: ductal carcinoma in situ;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1A7E3996">
      <w:pPr>
        <w:rPr>
          <w:highlight w:val="darkYellow"/>
        </w:rPr>
      </w:pPr>
    </w:p>
    <w:p w14:paraId="19D83869">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9. PSH assumption test results for candidate variables in the second-round model in patients with DCIS.</w:t>
      </w:r>
    </w:p>
    <w:p w14:paraId="3AE4615C">
      <w:pPr>
        <w:spacing w:line="360" w:lineRule="auto"/>
        <w:jc w:val="left"/>
        <w:rPr>
          <w:rFonts w:hint="default" w:ascii="Times New Roman" w:hAnsi="Times New Roman" w:cs="Times New Roman"/>
          <w:b/>
          <w:bCs/>
          <w:sz w:val="24"/>
          <w:highlight w:val="none"/>
        </w:rPr>
      </w:pPr>
      <w:r>
        <w:rPr>
          <w:rFonts w:hint="eastAsia" w:ascii="Times New Roman" w:hAnsi="Times New Roman" w:cs="Times New Roman"/>
          <w:szCs w:val="21"/>
        </w:rPr>
        <w:t>Abbreviation: PSH: proportional subdistribution hazard; DCIS: ductal carcinoma in situ; ref: reference category;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w:t>
      </w:r>
    </w:p>
    <w:p w14:paraId="64E9FB38">
      <w:pPr>
        <w:rPr>
          <w:rFonts w:hint="default"/>
          <w:highlight w:val="darkYellow"/>
          <w:lang w:val="en-US" w:eastAsia="zh-CN"/>
        </w:rPr>
      </w:pPr>
    </w:p>
    <w:p w14:paraId="484D9DF2">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10. PSH assumption test results for variables in the final model in patients with DCIS.</w:t>
      </w:r>
    </w:p>
    <w:p w14:paraId="496B9EC8">
      <w:pPr>
        <w:spacing w:line="360" w:lineRule="auto"/>
        <w:jc w:val="left"/>
        <w:rPr>
          <w:rFonts w:hint="default" w:ascii="Times New Roman" w:hAnsi="Times New Roman" w:cs="Times New Roman"/>
          <w:b/>
          <w:bCs/>
          <w:sz w:val="24"/>
          <w:highlight w:val="none"/>
        </w:rPr>
      </w:pPr>
      <w:r>
        <w:rPr>
          <w:rFonts w:hint="eastAsia" w:ascii="Times New Roman" w:hAnsi="Times New Roman" w:cs="Times New Roman"/>
          <w:szCs w:val="21"/>
        </w:rPr>
        <w:t>Abbreviation: PSH: proportional subdistribution hazard; DCIS: ductal carcinoma in situ; ref: reference category.</w:t>
      </w:r>
    </w:p>
    <w:p w14:paraId="716AB9D3">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rPr>
          <w:rFonts w:hint="eastAsia" w:ascii="Times New Roman" w:hAnsi="Times New Roman" w:cs="Times New Roman"/>
          <w:b/>
          <w:bCs/>
          <w:sz w:val="24"/>
        </w:rPr>
      </w:pPr>
    </w:p>
    <w:p w14:paraId="50A9D37D">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rPr>
          <w:rFonts w:hint="eastAsia" w:ascii="Times New Roman" w:hAnsi="Times New Roman" w:cs="Times New Roman" w:eastAsiaTheme="minorEastAsia"/>
          <w:b/>
          <w:i w:val="0"/>
          <w:color w:val="000000"/>
          <w:sz w:val="24"/>
          <w:szCs w:val="24"/>
          <w:u w:val="none"/>
          <w:lang w:val="en-US" w:eastAsia="zh-CN"/>
        </w:rPr>
      </w:pPr>
      <w:r>
        <w:rPr>
          <w:rFonts w:hint="eastAsia" w:ascii="Times New Roman" w:hAnsi="Times New Roman" w:cs="Times New Roman"/>
          <w:b/>
          <w:bCs/>
          <w:sz w:val="24"/>
        </w:rPr>
        <w:t>Supplementary Table 11.</w:t>
      </w:r>
      <w:r>
        <w:rPr>
          <w:rFonts w:hint="eastAsia" w:ascii="Times New Roman" w:hAnsi="Times New Roman" w:cs="Times New Roman"/>
          <w:b/>
          <w:bCs/>
          <w:sz w:val="24"/>
          <w:lang w:val="en-US" w:eastAsia="zh-CN"/>
        </w:rPr>
        <w:t xml:space="preserve"> </w:t>
      </w:r>
      <w:r>
        <w:rPr>
          <w:rFonts w:hint="default" w:ascii="Times New Roman" w:hAnsi="Times New Roman" w:eastAsia="Arial" w:cs="Times New Roman"/>
          <w:b/>
          <w:i w:val="0"/>
          <w:color w:val="000000"/>
          <w:sz w:val="24"/>
          <w:szCs w:val="24"/>
          <w:u w:val="none"/>
        </w:rPr>
        <w:t xml:space="preserve">Number at Risk for the Subdistribution Hazard by Variable Level at Selected Follow-up Time Points in the Final Model for </w:t>
      </w:r>
      <w:r>
        <w:rPr>
          <w:rFonts w:hint="eastAsia" w:ascii="Times New Roman" w:hAnsi="Times New Roman" w:eastAsia="宋体" w:cs="Times New Roman"/>
          <w:b/>
          <w:bCs/>
          <w:sz w:val="24"/>
          <w:lang w:val="en-US" w:eastAsia="zh-CN"/>
        </w:rPr>
        <w:t>D</w:t>
      </w:r>
      <w:r>
        <w:rPr>
          <w:rFonts w:hint="eastAsia" w:ascii="Times New Roman" w:hAnsi="Times New Roman" w:cs="Times New Roman"/>
          <w:b/>
          <w:bCs/>
          <w:sz w:val="24"/>
        </w:rPr>
        <w:t xml:space="preserve">uctal </w:t>
      </w:r>
      <w:r>
        <w:rPr>
          <w:rFonts w:hint="eastAsia" w:ascii="Times New Roman" w:hAnsi="Times New Roman" w:cs="Times New Roman"/>
          <w:b/>
          <w:bCs/>
          <w:sz w:val="24"/>
          <w:lang w:val="en-US" w:eastAsia="zh-CN"/>
        </w:rPr>
        <w:t>C</w:t>
      </w:r>
      <w:r>
        <w:rPr>
          <w:rFonts w:hint="eastAsia" w:ascii="Times New Roman" w:hAnsi="Times New Roman" w:cs="Times New Roman"/>
          <w:b/>
          <w:bCs/>
          <w:sz w:val="24"/>
        </w:rPr>
        <w:t xml:space="preserve">arcinoma </w:t>
      </w:r>
      <w:r>
        <w:rPr>
          <w:rFonts w:hint="eastAsia" w:ascii="Times New Roman" w:hAnsi="Times New Roman" w:cs="Times New Roman"/>
          <w:b/>
          <w:bCs/>
          <w:sz w:val="24"/>
          <w:lang w:val="en-US" w:eastAsia="zh-CN"/>
        </w:rPr>
        <w:t>I</w:t>
      </w:r>
      <w:r>
        <w:rPr>
          <w:rFonts w:hint="eastAsia" w:ascii="Times New Roman" w:hAnsi="Times New Roman" w:cs="Times New Roman"/>
          <w:b/>
          <w:bCs/>
          <w:sz w:val="24"/>
        </w:rPr>
        <w:t xml:space="preserve">n </w:t>
      </w:r>
      <w:r>
        <w:rPr>
          <w:rFonts w:hint="eastAsia" w:ascii="Times New Roman" w:hAnsi="Times New Roman" w:cs="Times New Roman"/>
          <w:b/>
          <w:bCs/>
          <w:sz w:val="24"/>
          <w:lang w:val="en-US" w:eastAsia="zh-CN"/>
        </w:rPr>
        <w:t>S</w:t>
      </w:r>
      <w:r>
        <w:rPr>
          <w:rFonts w:hint="eastAsia" w:ascii="Times New Roman" w:hAnsi="Times New Roman" w:cs="Times New Roman"/>
          <w:b/>
          <w:bCs/>
          <w:sz w:val="24"/>
        </w:rPr>
        <w:t>itu (DCIS)</w:t>
      </w:r>
      <w:r>
        <w:rPr>
          <w:rFonts w:hint="eastAsia" w:ascii="Times New Roman" w:hAnsi="Times New Roman" w:cs="Times New Roman"/>
          <w:b/>
          <w:bCs/>
          <w:sz w:val="24"/>
          <w:lang w:val="en-US" w:eastAsia="zh-CN"/>
        </w:rPr>
        <w:t>.</w:t>
      </w:r>
    </w:p>
    <w:p w14:paraId="0427B594">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pPr>
      <w:r>
        <w:rPr>
          <w:rFonts w:hint="default" w:ascii="Times New Roman" w:hAnsi="Times New Roman" w:eastAsia="宋体" w:cs="Times New Roman"/>
          <w:b w:val="0"/>
          <w:i w:val="0"/>
          <w:color w:val="000000"/>
          <w:sz w:val="21"/>
          <w:szCs w:val="21"/>
          <w:u w:val="none"/>
          <w:lang w:val="en-US" w:eastAsia="zh-CN"/>
        </w:rPr>
        <w:t>Note: The number at risk is defined as patients who have not yet experienced the target event (contralateral invasive breast cancer, CIBC), including those who have already experienced the competing event (death).</w:t>
      </w:r>
    </w:p>
    <w:p w14:paraId="62A8C971">
      <w:pPr>
        <w:rPr>
          <w:rFonts w:hint="default"/>
          <w:lang w:val="en-US" w:eastAsia="zh-CN"/>
        </w:rPr>
      </w:pPr>
    </w:p>
    <w:p w14:paraId="71BCD802">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2</w:t>
      </w:r>
      <w:r>
        <w:rPr>
          <w:rFonts w:hint="eastAsia" w:ascii="Times New Roman" w:hAnsi="Times New Roman" w:cs="Times New Roman"/>
          <w:b/>
          <w:bCs/>
          <w:sz w:val="24"/>
          <w:highlight w:val="none"/>
        </w:rPr>
        <w:t>. PSH assumption test results for risk factors in Black and White patients with DCIS.</w:t>
      </w:r>
    </w:p>
    <w:p w14:paraId="202E5D08">
      <w:pPr>
        <w:spacing w:line="360" w:lineRule="auto"/>
        <w:jc w:val="left"/>
        <w:rPr>
          <w:rFonts w:hint="eastAsia" w:ascii="Times New Roman" w:hAnsi="Times New Roman" w:cs="Times New Roman"/>
          <w:szCs w:val="21"/>
        </w:rPr>
      </w:pPr>
      <w:r>
        <w:rPr>
          <w:rFonts w:hint="eastAsia" w:ascii="Times New Roman" w:hAnsi="Times New Roman" w:cs="Times New Roman"/>
          <w:szCs w:val="21"/>
        </w:rPr>
        <w:t>Abbreviation: PSH: proportional subdistribution hazard; DCIS: ductal carcinoma in situ; ref: reference category</w:t>
      </w:r>
    </w:p>
    <w:p w14:paraId="5B0B808F">
      <w:pPr>
        <w:spacing w:line="360" w:lineRule="auto"/>
        <w:jc w:val="left"/>
        <w:rPr>
          <w:rFonts w:hint="default" w:ascii="Times New Roman" w:hAnsi="Times New Roman" w:cs="Times New Roman"/>
          <w:szCs w:val="21"/>
          <w:lang w:val="en-US" w:eastAsia="zh-CN"/>
        </w:rPr>
      </w:pPr>
    </w:p>
    <w:p w14:paraId="18B1B066">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3</w:t>
      </w:r>
      <w:r>
        <w:rPr>
          <w:rFonts w:hint="eastAsia" w:ascii="Times New Roman" w:hAnsi="Times New Roman" w:cs="Times New Roman"/>
          <w:b/>
          <w:bCs/>
          <w:sz w:val="24"/>
          <w:highlight w:val="none"/>
        </w:rPr>
        <w:t>. Fixed</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effect and landmark Fine</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Gray competing risks analysis of CIBC risk factors in Black and White patients with DCIS.</w:t>
      </w:r>
    </w:p>
    <w:p w14:paraId="49C4E831">
      <w:pPr>
        <w:widowControl/>
        <w:suppressAutoHyphens/>
        <w:kinsoku w:val="0"/>
        <w:overflowPunct w:val="0"/>
        <w:spacing w:line="360" w:lineRule="auto"/>
        <w:jc w:val="left"/>
        <w:rPr>
          <w:rFonts w:hint="eastAsia" w:ascii="Times New Roman" w:hAnsi="Times New Roman" w:cs="Times New Roman"/>
          <w:szCs w:val="21"/>
        </w:rPr>
      </w:pPr>
      <w:r>
        <w:rPr>
          <w:rFonts w:hint="eastAsia" w:ascii="Times New Roman" w:hAnsi="Times New Roman" w:cs="Times New Roman"/>
          <w:szCs w:val="21"/>
        </w:rPr>
        <w:t>Abbreviation: HR: hazard ratio; CI: confidence interval; ref: reference category; CIBC: contralateral invasive breast cancer; DCIS: ductal carcinoma in situ; FDR</w:t>
      </w:r>
      <w:r>
        <w:rPr>
          <w:rFonts w:hint="eastAsia" w:ascii="Times New Roman" w:hAnsi="Times New Roman" w:cs="Times New Roman"/>
          <w:szCs w:val="21"/>
        </w:rPr>
        <w:noBreakHyphen/>
      </w:r>
      <w:r>
        <w:rPr>
          <w:rFonts w:hint="eastAsia" w:ascii="Times New Roman" w:hAnsi="Times New Roman" w:cs="Times New Roman"/>
          <w:szCs w:val="21"/>
        </w:rPr>
        <w:t>adjusted P: false discovery rate</w:t>
      </w:r>
      <w:r>
        <w:rPr>
          <w:rFonts w:hint="eastAsia" w:ascii="Times New Roman" w:hAnsi="Times New Roman" w:cs="Times New Roman"/>
          <w:szCs w:val="21"/>
        </w:rPr>
        <w:noBreakHyphen/>
      </w:r>
      <w:r>
        <w:rPr>
          <w:rFonts w:hint="eastAsia" w:ascii="Times New Roman" w:hAnsi="Times New Roman" w:cs="Times New Roman"/>
          <w:szCs w:val="21"/>
        </w:rPr>
        <w:t>adjusted P value.</w:t>
      </w:r>
    </w:p>
    <w:p w14:paraId="47C4489C">
      <w:pPr>
        <w:keepNext w:val="0"/>
        <w:keepLines w:val="0"/>
        <w:widowControl/>
        <w:suppressLineNumbers w:val="0"/>
        <w:suppressAutoHyphens/>
        <w:kinsoku w:val="0"/>
        <w:overflowPunct w:val="0"/>
        <w:spacing w:before="0" w:beforeAutospacing="0" w:after="0" w:afterAutospacing="0" w:line="360" w:lineRule="auto"/>
        <w:ind w:left="0" w:right="0"/>
        <w:jc w:val="left"/>
        <w:rPr>
          <w:rFonts w:hint="eastAsia" w:ascii="Times New Roman" w:hAnsi="Times New Roman" w:cs="Times New Roman"/>
          <w:szCs w:val="21"/>
        </w:rPr>
      </w:pPr>
      <w:r>
        <w:rPr>
          <w:rFonts w:hint="default" w:ascii="Times New Roman" w:hAnsi="Times New Roman" w:eastAsia="宋体" w:cs="Times New Roman"/>
          <w:kern w:val="2"/>
          <w:sz w:val="21"/>
          <w:szCs w:val="21"/>
          <w:lang w:val="en-US" w:eastAsia="zh-CN" w:bidi="ar"/>
        </w:rPr>
        <w:t xml:space="preserve">Note: </w:t>
      </w:r>
      <w:r>
        <w:rPr>
          <w:rFonts w:hint="default" w:ascii="Times New Roman" w:hAnsi="Times New Roman" w:eastAsia="宋体" w:cs="Times New Roman"/>
          <w:kern w:val="2"/>
          <w:sz w:val="21"/>
          <w:szCs w:val="21"/>
          <w:vertAlign w:val="superscript"/>
          <w:lang w:val="en-US" w:eastAsia="zh-CN" w:bidi="ar"/>
        </w:rPr>
        <w:t>1</w:t>
      </w:r>
      <w:r>
        <w:rPr>
          <w:rFonts w:hint="default" w:ascii="Times New Roman" w:hAnsi="Times New Roman" w:eastAsia="宋体" w:cs="Times New Roman"/>
          <w:kern w:val="2"/>
          <w:sz w:val="21"/>
          <w:szCs w:val="21"/>
          <w:lang w:val="en-US" w:eastAsia="zh-CN" w:bidi="ar"/>
        </w:rPr>
        <w:t xml:space="preserve">Age 61-70 (15-year landmark cut-off); </w:t>
      </w:r>
      <w:r>
        <w:rPr>
          <w:rFonts w:hint="default" w:ascii="Times New Roman" w:hAnsi="Times New Roman" w:eastAsia="宋体" w:cs="Times New Roman"/>
          <w:kern w:val="2"/>
          <w:sz w:val="21"/>
          <w:szCs w:val="21"/>
          <w:vertAlign w:val="superscript"/>
          <w:lang w:val="en-US" w:eastAsia="zh-CN" w:bidi="ar"/>
        </w:rPr>
        <w:t>2</w:t>
      </w:r>
      <w:r>
        <w:rPr>
          <w:rFonts w:hint="default" w:ascii="Times New Roman" w:hAnsi="Times New Roman" w:eastAsia="宋体" w:cs="Times New Roman"/>
          <w:kern w:val="2"/>
          <w:sz w:val="21"/>
          <w:szCs w:val="21"/>
          <w:lang w:val="en-US" w:eastAsia="zh-CN" w:bidi="ar"/>
        </w:rPr>
        <w:t xml:space="preserve">Age ≥71 (9-year landmark cut-off); </w:t>
      </w:r>
      <w:r>
        <w:rPr>
          <w:rFonts w:hint="default" w:ascii="Times New Roman" w:hAnsi="Times New Roman" w:eastAsia="宋体" w:cs="Times New Roman"/>
          <w:kern w:val="2"/>
          <w:sz w:val="21"/>
          <w:szCs w:val="21"/>
          <w:vertAlign w:val="superscript"/>
          <w:lang w:val="en-US" w:eastAsia="zh-CN" w:bidi="ar"/>
        </w:rPr>
        <w:t>3</w:t>
      </w:r>
      <w:r>
        <w:rPr>
          <w:rFonts w:hint="default" w:ascii="Times New Roman" w:hAnsi="Times New Roman" w:eastAsia="宋体" w:cs="Times New Roman"/>
          <w:kern w:val="2"/>
          <w:sz w:val="21"/>
          <w:szCs w:val="21"/>
          <w:lang w:val="en-US" w:eastAsia="zh-CN" w:bidi="ar"/>
        </w:rPr>
        <w:t>Micropapillary carcinoma (9-year landmark cut-off). Each superscript denotes the paired early-phase and late-phase landmark results.</w:t>
      </w:r>
    </w:p>
    <w:p w14:paraId="7DA40E5A">
      <w:pPr>
        <w:rPr>
          <w:rFonts w:hint="default"/>
          <w:lang w:val="en-US" w:eastAsia="zh-CN"/>
        </w:rPr>
      </w:pPr>
    </w:p>
    <w:p w14:paraId="38D89DDD">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4</w:t>
      </w:r>
      <w:r>
        <w:rPr>
          <w:rFonts w:hint="eastAsia" w:ascii="Times New Roman" w:hAnsi="Times New Roman" w:cs="Times New Roman"/>
          <w:b/>
          <w:bCs/>
          <w:sz w:val="24"/>
          <w:highlight w:val="none"/>
        </w:rPr>
        <w:t>. First</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round minimally adjusted Fine</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Gray competing risks analysis of candidate variables for CIBC in patients with IDC.</w:t>
      </w:r>
    </w:p>
    <w:p w14:paraId="1751EEEA">
      <w:pPr>
        <w:widowControl/>
        <w:suppressAutoHyphens/>
        <w:kinsoku w:val="0"/>
        <w:overflowPunct w:val="0"/>
        <w:spacing w:line="360" w:lineRule="auto"/>
        <w:jc w:val="left"/>
        <w:rPr>
          <w:rFonts w:hint="default" w:ascii="Times New Roman" w:hAnsi="Times New Roman" w:cs="Times New Roman"/>
          <w:b/>
          <w:bCs/>
          <w:sz w:val="24"/>
          <w:highlight w:val="none"/>
        </w:rPr>
      </w:pPr>
      <w:r>
        <w:rPr>
          <w:rFonts w:hint="eastAsia" w:ascii="Times New Roman" w:hAnsi="Times New Roman" w:cs="Times New Roman"/>
          <w:szCs w:val="21"/>
        </w:rPr>
        <w:t>Abbreviation: HR: hazard ratio; CI: confidence interval; ref: reference category; CIBC: contralateral invasive breast cancer; IDC: invasive ductal carcinoma;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 N0: lymph node metastasis stage N0; N1: lymph node metastasis stage N1; N2: lymph node metastasis stage N2; N3: lymph node metastasis stage N3.</w:t>
      </w:r>
    </w:p>
    <w:p w14:paraId="65228B9B">
      <w:pPr>
        <w:rPr>
          <w:highlight w:val="darkYellow"/>
        </w:rPr>
      </w:pPr>
    </w:p>
    <w:p w14:paraId="3CB8B82A">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5</w:t>
      </w:r>
      <w:r>
        <w:rPr>
          <w:rFonts w:hint="eastAsia" w:ascii="Times New Roman" w:hAnsi="Times New Roman" w:cs="Times New Roman"/>
          <w:b/>
          <w:bCs/>
          <w:sz w:val="24"/>
          <w:highlight w:val="none"/>
        </w:rPr>
        <w:t>. Second</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round minimally adjusted Fine</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Gray competing risks analysis of candidate variables for CIBC in patients with IDC.</w:t>
      </w:r>
    </w:p>
    <w:p w14:paraId="2CA4836D">
      <w:pPr>
        <w:spacing w:line="360" w:lineRule="auto"/>
        <w:rPr>
          <w:rFonts w:hint="default" w:ascii="Times New Roman" w:hAnsi="Times New Roman" w:cs="Times New Roman"/>
          <w:b/>
          <w:bCs/>
          <w:sz w:val="24"/>
          <w:highlight w:val="none"/>
        </w:rPr>
      </w:pPr>
      <w:r>
        <w:rPr>
          <w:rFonts w:hint="eastAsia" w:ascii="Times New Roman" w:hAnsi="Times New Roman" w:cs="Times New Roman"/>
          <w:szCs w:val="21"/>
        </w:rPr>
        <w:t>Abbreviation: HR: hazard ratio; CI: confidence interval; ref: reference category; CIBC: contralateral invasive breast cancer; IDC: invasive ductal carcinoma.</w:t>
      </w:r>
    </w:p>
    <w:p w14:paraId="01733AA1">
      <w:pPr>
        <w:rPr>
          <w:highlight w:val="none"/>
        </w:rPr>
      </w:pPr>
    </w:p>
    <w:p w14:paraId="213B2372">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6</w:t>
      </w:r>
      <w:r>
        <w:rPr>
          <w:rFonts w:hint="eastAsia" w:ascii="Times New Roman" w:hAnsi="Times New Roman" w:cs="Times New Roman"/>
          <w:b/>
          <w:bCs/>
          <w:sz w:val="24"/>
          <w:highlight w:val="none"/>
        </w:rPr>
        <w:t>. PSH assumption test results for candidate variables in the second</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round model in patients with IDC.</w:t>
      </w:r>
    </w:p>
    <w:p w14:paraId="5C98AD4C">
      <w:pPr>
        <w:spacing w:line="360" w:lineRule="auto"/>
        <w:rPr>
          <w:rFonts w:ascii="Times New Roman" w:hAnsi="Times New Roman" w:cs="Times New Roman"/>
          <w:szCs w:val="21"/>
        </w:rPr>
      </w:pPr>
      <w:r>
        <w:rPr>
          <w:rFonts w:hint="eastAsia" w:ascii="Times New Roman" w:hAnsi="Times New Roman" w:cs="Times New Roman"/>
          <w:szCs w:val="21"/>
        </w:rPr>
        <w:t>Abbreviation: PSH: proportional subdistribution hazard; IDC: invasive ductal carcinoma; ref: reference category.</w:t>
      </w:r>
    </w:p>
    <w:p w14:paraId="45E04CDB">
      <w:pPr>
        <w:rPr>
          <w:rFonts w:hint="default"/>
          <w:highlight w:val="darkYellow"/>
          <w:lang w:val="en-US" w:eastAsia="zh-CN"/>
        </w:rPr>
      </w:pPr>
    </w:p>
    <w:p w14:paraId="7BB12EB0">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7</w:t>
      </w:r>
      <w:r>
        <w:rPr>
          <w:rFonts w:hint="eastAsia" w:ascii="Times New Roman" w:hAnsi="Times New Roman" w:cs="Times New Roman"/>
          <w:b/>
          <w:bCs/>
          <w:sz w:val="24"/>
          <w:highlight w:val="none"/>
        </w:rPr>
        <w:t>. PSH assumption test results for variables in the final model in patients with IDC.</w:t>
      </w:r>
    </w:p>
    <w:p w14:paraId="213ECC52">
      <w:pPr>
        <w:spacing w:line="360" w:lineRule="auto"/>
        <w:rPr>
          <w:rFonts w:hint="eastAsia" w:ascii="Times New Roman" w:hAnsi="Times New Roman" w:cs="Times New Roman"/>
          <w:b/>
          <w:bCs/>
          <w:sz w:val="24"/>
          <w:highlight w:val="none"/>
          <w:lang w:val="en-US" w:eastAsia="zh-CN"/>
        </w:rPr>
      </w:pPr>
      <w:r>
        <w:rPr>
          <w:rFonts w:hint="eastAsia" w:ascii="Times New Roman" w:hAnsi="Times New Roman" w:cs="Times New Roman"/>
          <w:szCs w:val="21"/>
        </w:rPr>
        <w:t>Abbreviation: PSH: proportional subdistribution hazard; IDC: invasive ductal carcinoma; ref: reference category;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xml:space="preserve"> neither ER nor PR was positive, with at least one being borderline or unknown; N0: lymph node metastasis stage N0; N1: lymph node metastasis stage N1; N2: lymph node metastasis stage N2; N3: lymph node metastasis stage N3. </w:t>
      </w:r>
    </w:p>
    <w:p w14:paraId="5B4115DE">
      <w:pPr>
        <w:rPr>
          <w:rFonts w:hint="default"/>
          <w:lang w:val="en-US" w:eastAsia="zh-CN"/>
        </w:rPr>
      </w:pPr>
    </w:p>
    <w:p w14:paraId="361A08CF">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Supplementary Table 1</w:t>
      </w:r>
      <w:r>
        <w:rPr>
          <w:rFonts w:hint="eastAsia" w:ascii="Times New Roman" w:hAnsi="Times New Roman" w:cs="Times New Roman"/>
          <w:b/>
          <w:bCs/>
          <w:sz w:val="24"/>
          <w:highlight w:val="none"/>
          <w:lang w:val="en-US" w:eastAsia="zh-CN"/>
        </w:rPr>
        <w:t>8</w:t>
      </w:r>
      <w:r>
        <w:rPr>
          <w:rFonts w:hint="eastAsia" w:ascii="Times New Roman" w:hAnsi="Times New Roman" w:cs="Times New Roman"/>
          <w:b/>
          <w:bCs/>
          <w:sz w:val="24"/>
          <w:highlight w:val="none"/>
        </w:rPr>
        <w:t>. Fixed</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effect Fine</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Gray competing risks analysis of CIBC risk factors in patients with IDC.</w:t>
      </w:r>
    </w:p>
    <w:p w14:paraId="2C646962">
      <w:pPr>
        <w:widowControl/>
        <w:suppressAutoHyphens/>
        <w:kinsoku w:val="0"/>
        <w:overflowPunct w:val="0"/>
        <w:spacing w:line="360" w:lineRule="auto"/>
        <w:jc w:val="left"/>
        <w:rPr>
          <w:rFonts w:hint="eastAsia" w:ascii="Times New Roman" w:hAnsi="Times New Roman" w:cs="Times New Roman"/>
          <w:b/>
          <w:bCs/>
          <w:sz w:val="24"/>
          <w:highlight w:val="none"/>
        </w:rPr>
      </w:pPr>
      <w:r>
        <w:rPr>
          <w:rFonts w:hint="eastAsia" w:ascii="Times New Roman" w:hAnsi="Times New Roman" w:cs="Times New Roman"/>
          <w:szCs w:val="21"/>
        </w:rPr>
        <w:t>Abbreviation: HR: hazard ratio; CI: confidence interval; ref: reference category; CIBC: contralateral invasive breast cancer; IDC: invasive ductal carcinoma; ref: reference category;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 N0: lymph node metastasis stage N0; N1: lymph node metastasis stage N1; N2: lymph node metastasis stage N2; N3: lymph node metastasis stage N3.</w:t>
      </w:r>
    </w:p>
    <w:p w14:paraId="0CB2879D">
      <w:pPr>
        <w:keepNext w:val="0"/>
        <w:keepLines w:val="0"/>
        <w:widowControl w:val="0"/>
        <w:suppressLineNumbers w:val="0"/>
        <w:spacing w:before="0" w:beforeAutospacing="0" w:after="0" w:afterAutospacing="0" w:line="360" w:lineRule="auto"/>
        <w:ind w:left="0" w:right="0"/>
        <w:jc w:val="both"/>
        <w:rPr>
          <w:rFonts w:hint="default" w:ascii="Times New Roman" w:hAnsi="Times New Roman" w:cs="Times New Roman"/>
          <w:szCs w:val="21"/>
          <w:lang w:val="en-US"/>
        </w:rPr>
      </w:pPr>
      <w:r>
        <w:rPr>
          <w:rFonts w:hint="default" w:ascii="Times New Roman" w:hAnsi="Times New Roman" w:eastAsia="宋体" w:cs="Times New Roman"/>
          <w:kern w:val="2"/>
          <w:sz w:val="21"/>
          <w:szCs w:val="21"/>
          <w:lang w:val="en-US" w:eastAsia="zh-CN" w:bidi="ar"/>
        </w:rPr>
        <w:t xml:space="preserve">Notes: </w:t>
      </w:r>
      <w:r>
        <w:rPr>
          <w:rFonts w:hint="default" w:ascii="Times New Roman" w:hAnsi="Times New Roman" w:eastAsia="宋体" w:cs="Times New Roman"/>
          <w:kern w:val="2"/>
          <w:sz w:val="21"/>
          <w:szCs w:val="21"/>
          <w:vertAlign w:val="superscript"/>
          <w:lang w:val="en-US" w:eastAsia="zh-CN" w:bidi="ar"/>
        </w:rPr>
        <w:t>2</w:t>
      </w:r>
      <w:r>
        <w:rPr>
          <w:rFonts w:hint="default" w:ascii="Times New Roman" w:hAnsi="Times New Roman" w:eastAsia="宋体" w:cs="Times New Roman"/>
          <w:kern w:val="2"/>
          <w:sz w:val="21"/>
          <w:szCs w:val="21"/>
          <w:lang w:val="en-US" w:eastAsia="zh-CN" w:bidi="ar"/>
        </w:rPr>
        <w:t xml:space="preserve">Results from the second-round minimally-adjusted Fine-Gray competing-risks model. </w:t>
      </w:r>
      <w:r>
        <w:rPr>
          <w:rFonts w:hint="default" w:ascii="Times New Roman" w:hAnsi="Times New Roman" w:eastAsia="宋体" w:cs="Times New Roman"/>
          <w:kern w:val="2"/>
          <w:sz w:val="21"/>
          <w:szCs w:val="21"/>
          <w:vertAlign w:val="superscript"/>
          <w:lang w:val="en-US" w:eastAsia="zh-CN" w:bidi="ar"/>
        </w:rPr>
        <w:t>1</w:t>
      </w:r>
      <w:r>
        <w:rPr>
          <w:rFonts w:hint="default" w:ascii="Times New Roman" w:hAnsi="Times New Roman" w:eastAsia="宋体" w:cs="Times New Roman"/>
          <w:kern w:val="2"/>
          <w:sz w:val="21"/>
          <w:szCs w:val="21"/>
          <w:lang w:val="en-US" w:eastAsia="zh-CN" w:bidi="ar"/>
        </w:rPr>
        <w:t>Final multivariable Fine-Gray competing-risks model.</w:t>
      </w:r>
    </w:p>
    <w:p w14:paraId="0BE5483A">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rPr>
          <w:rFonts w:hint="eastAsia" w:ascii="Times New Roman" w:hAnsi="Times New Roman" w:cs="Times New Roman"/>
          <w:b/>
          <w:bCs/>
          <w:sz w:val="24"/>
        </w:rPr>
      </w:pPr>
    </w:p>
    <w:p w14:paraId="7FD88217">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rPr>
          <w:rFonts w:hint="eastAsia" w:ascii="Times New Roman" w:hAnsi="Times New Roman" w:eastAsia="宋体" w:cs="Times New Roman"/>
          <w:b/>
          <w:i w:val="0"/>
          <w:color w:val="000000"/>
          <w:sz w:val="24"/>
          <w:szCs w:val="24"/>
          <w:u w:val="none"/>
          <w:lang w:val="en-US" w:eastAsia="zh-CN"/>
        </w:rPr>
      </w:pPr>
      <w:r>
        <w:rPr>
          <w:rFonts w:hint="eastAsia" w:ascii="Times New Roman" w:hAnsi="Times New Roman" w:cs="Times New Roman"/>
          <w:b/>
          <w:bCs/>
          <w:sz w:val="24"/>
        </w:rPr>
        <w:t>Supplementary Table 1</w:t>
      </w:r>
      <w:r>
        <w:rPr>
          <w:rFonts w:hint="eastAsia" w:ascii="Times New Roman" w:hAnsi="Times New Roman" w:cs="Times New Roman"/>
          <w:b/>
          <w:bCs/>
          <w:sz w:val="24"/>
          <w:lang w:val="en-US" w:eastAsia="zh-CN"/>
        </w:rPr>
        <w:t>9</w:t>
      </w:r>
      <w:r>
        <w:rPr>
          <w:rFonts w:hint="eastAsia" w:ascii="Times New Roman" w:hAnsi="Times New Roman" w:cs="Times New Roman"/>
          <w:b/>
          <w:bCs/>
          <w:sz w:val="24"/>
        </w:rPr>
        <w:t>.</w:t>
      </w:r>
      <w:r>
        <w:rPr>
          <w:rFonts w:hint="eastAsia" w:ascii="Times New Roman" w:hAnsi="Times New Roman" w:cs="Times New Roman"/>
          <w:b/>
          <w:bCs/>
          <w:sz w:val="24"/>
          <w:lang w:val="en-US" w:eastAsia="zh-CN"/>
        </w:rPr>
        <w:t xml:space="preserve"> </w:t>
      </w:r>
      <w:r>
        <w:rPr>
          <w:rFonts w:hint="default" w:ascii="Times New Roman" w:hAnsi="Times New Roman" w:eastAsia="Arial" w:cs="Times New Roman"/>
          <w:b/>
          <w:i w:val="0"/>
          <w:color w:val="000000"/>
          <w:sz w:val="24"/>
          <w:szCs w:val="24"/>
          <w:u w:val="none"/>
        </w:rPr>
        <w:t>Number at Risk for the Subdistribution Hazard by Variable Level at Selected Follow-up Time Points in the Final Model for Invasive Ductal Carcinoma (IDC)</w:t>
      </w:r>
      <w:r>
        <w:rPr>
          <w:rFonts w:hint="eastAsia" w:ascii="Times New Roman" w:hAnsi="Times New Roman" w:eastAsia="宋体" w:cs="Times New Roman"/>
          <w:b/>
          <w:i w:val="0"/>
          <w:color w:val="000000"/>
          <w:sz w:val="24"/>
          <w:szCs w:val="24"/>
          <w:u w:val="none"/>
          <w:lang w:val="en-US" w:eastAsia="zh-CN"/>
        </w:rPr>
        <w:t>.</w:t>
      </w:r>
    </w:p>
    <w:p w14:paraId="4238822E">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rPr>
          <w:rFonts w:hint="default" w:ascii="Times New Roman" w:hAnsi="Times New Roman" w:eastAsia="宋体" w:cs="Times New Roman"/>
          <w:b w:val="0"/>
          <w:i w:val="0"/>
          <w:color w:val="000000"/>
          <w:sz w:val="21"/>
          <w:szCs w:val="21"/>
          <w:u w:val="none"/>
          <w:lang w:val="en-US" w:eastAsia="zh-CN"/>
        </w:rPr>
      </w:pPr>
      <w:r>
        <w:rPr>
          <w:rFonts w:hint="default" w:ascii="Times New Roman" w:hAnsi="Times New Roman" w:eastAsia="宋体" w:cs="Times New Roman"/>
          <w:b w:val="0"/>
          <w:i w:val="0"/>
          <w:color w:val="000000"/>
          <w:sz w:val="21"/>
          <w:szCs w:val="21"/>
          <w:u w:val="none"/>
          <w:lang w:val="en-US" w:eastAsia="zh-CN"/>
        </w:rPr>
        <w:t>Note: The number at risk is defined as patients who have not yet experienced the target event (contralateral invasive breast cancer, CIBC), including those who have already experienced the competing event (death).</w:t>
      </w:r>
    </w:p>
    <w:p w14:paraId="3F6E4FEC">
      <w:pPr>
        <w:keepNext w:val="0"/>
        <w:keepLines w:val="0"/>
        <w:pageBreakBefore w:val="0"/>
        <w:widowControl/>
        <w:pBdr>
          <w:top w:val="none" w:color="000000" w:sz="0" w:space="0"/>
          <w:left w:val="none" w:color="000000" w:sz="0" w:space="0"/>
          <w:bottom w:val="none" w:color="000000" w:sz="0" w:space="0"/>
          <w:right w:val="none" w:color="000000" w:sz="0" w:space="0"/>
        </w:pBdr>
        <w:kinsoku/>
        <w:wordWrap/>
        <w:overflowPunct/>
        <w:topLinePunct w:val="0"/>
        <w:autoSpaceDE/>
        <w:autoSpaceDN/>
        <w:bidi w:val="0"/>
        <w:adjustRightInd/>
        <w:snapToGrid w:val="0"/>
        <w:spacing w:line="360" w:lineRule="auto"/>
        <w:ind w:left="0" w:right="0" w:firstLine="0" w:firstLineChars="0"/>
        <w:jc w:val="left"/>
        <w:textAlignment w:val="auto"/>
        <w:rPr>
          <w:rFonts w:hint="default" w:ascii="Times New Roman" w:hAnsi="Times New Roman" w:eastAsia="宋体" w:cs="Times New Roman"/>
          <w:b w:val="0"/>
          <w:i w:val="0"/>
          <w:color w:val="000000"/>
          <w:sz w:val="21"/>
          <w:szCs w:val="21"/>
          <w:u w:val="none"/>
          <w:lang w:val="en-US" w:eastAsia="zh-CN"/>
        </w:rPr>
      </w:pPr>
      <w:r>
        <w:rPr>
          <w:rFonts w:ascii="Times New Roman" w:hAnsi="Times New Roman" w:cs="Times New Roman"/>
          <w:sz w:val="21"/>
          <w:szCs w:val="21"/>
        </w:rPr>
        <w:t>Abbreviation:</w:t>
      </w:r>
      <w:r>
        <w:rPr>
          <w:rFonts w:hint="eastAsia" w:ascii="Times New Roman" w:hAnsi="Times New Roman" w:cs="Times New Roman"/>
          <w:sz w:val="21"/>
          <w:szCs w:val="21"/>
        </w:rPr>
        <w:t xml:space="preserve"> HR-: ER-negative and PR-negative; HR+ (ER+/PR+): ER-positive and PR-positive; HR+ (Other): positive for either ER or PR, but not both; HR</w:t>
      </w:r>
      <w:r>
        <w:rPr>
          <w:sz w:val="21"/>
          <w:szCs w:val="21"/>
        </w:rPr>
        <w:t xml:space="preserve"> </w:t>
      </w:r>
      <w:r>
        <w:rPr>
          <w:rFonts w:ascii="Times New Roman" w:hAnsi="Times New Roman" w:cs="Times New Roman"/>
          <w:sz w:val="21"/>
          <w:szCs w:val="21"/>
        </w:rPr>
        <w:t>Equivocal</w:t>
      </w:r>
      <w:r>
        <w:rPr>
          <w:rFonts w:hint="eastAsia" w:ascii="Times New Roman" w:hAnsi="Times New Roman" w:cs="Times New Roman"/>
          <w:sz w:val="21"/>
          <w:szCs w:val="21"/>
        </w:rPr>
        <w:t>: neither ER nor PR was positive, with at least one being borderline or unknown.</w:t>
      </w:r>
    </w:p>
    <w:p w14:paraId="3B4B0A58"/>
    <w:p w14:paraId="49728201">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 xml:space="preserve">Supplementary Table </w:t>
      </w:r>
      <w:r>
        <w:rPr>
          <w:rFonts w:hint="eastAsia" w:ascii="Times New Roman" w:hAnsi="Times New Roman" w:cs="Times New Roman"/>
          <w:b/>
          <w:bCs/>
          <w:sz w:val="24"/>
          <w:highlight w:val="none"/>
          <w:lang w:val="en-US" w:eastAsia="zh-CN"/>
        </w:rPr>
        <w:t>20</w:t>
      </w:r>
      <w:r>
        <w:rPr>
          <w:rFonts w:hint="eastAsia" w:ascii="Times New Roman" w:hAnsi="Times New Roman" w:cs="Times New Roman"/>
          <w:b/>
          <w:bCs/>
          <w:sz w:val="24"/>
          <w:highlight w:val="none"/>
        </w:rPr>
        <w:t>. PSH assumption test results for risk factors in Black and White patients with IDC.</w:t>
      </w:r>
    </w:p>
    <w:p w14:paraId="1A5A6B8F">
      <w:pPr>
        <w:spacing w:line="360" w:lineRule="auto"/>
        <w:rPr>
          <w:rFonts w:hint="default" w:ascii="Times New Roman" w:hAnsi="Times New Roman" w:cs="Times New Roman"/>
          <w:b/>
          <w:bCs/>
          <w:sz w:val="24"/>
          <w:highlight w:val="none"/>
        </w:rPr>
      </w:pPr>
      <w:r>
        <w:rPr>
          <w:rFonts w:hint="eastAsia" w:ascii="Times New Roman" w:hAnsi="Times New Roman" w:cs="Times New Roman"/>
          <w:szCs w:val="21"/>
        </w:rPr>
        <w:t xml:space="preserve">Abbreviation: PSH: proportional subdistribution hazard; IDC: invasive ductal carcinoma; ref: reference category; N0: lymph node metastasis stage N0; N1: lymph node metastasis stage N1; N2: lymph node metastasis stage N2; N3: lymph node metastasis stage N3. </w:t>
      </w:r>
    </w:p>
    <w:p w14:paraId="4CB469D9">
      <w:pPr>
        <w:spacing w:line="360" w:lineRule="auto"/>
        <w:rPr>
          <w:rFonts w:hint="eastAsia" w:ascii="Times New Roman" w:hAnsi="Times New Roman" w:cs="Times New Roman"/>
          <w:b/>
          <w:bCs/>
          <w:sz w:val="24"/>
        </w:rPr>
      </w:pPr>
    </w:p>
    <w:p w14:paraId="43BF5529">
      <w:pPr>
        <w:spacing w:line="360" w:lineRule="auto"/>
        <w:rPr>
          <w:rFonts w:hint="eastAsia" w:ascii="Times New Roman" w:hAnsi="Times New Roman" w:cs="Times New Roman"/>
          <w:b/>
          <w:bCs/>
          <w:sz w:val="24"/>
          <w:highlight w:val="none"/>
        </w:rPr>
      </w:pPr>
      <w:r>
        <w:rPr>
          <w:rFonts w:hint="eastAsia" w:ascii="Times New Roman" w:hAnsi="Times New Roman" w:cs="Times New Roman"/>
          <w:b/>
          <w:bCs/>
          <w:sz w:val="24"/>
          <w:highlight w:val="none"/>
        </w:rPr>
        <w:t xml:space="preserve">Supplementary Table </w:t>
      </w:r>
      <w:r>
        <w:rPr>
          <w:rFonts w:hint="eastAsia" w:ascii="Times New Roman" w:hAnsi="Times New Roman" w:cs="Times New Roman"/>
          <w:b/>
          <w:bCs/>
          <w:sz w:val="24"/>
          <w:highlight w:val="none"/>
          <w:lang w:val="en-US" w:eastAsia="zh-CN"/>
        </w:rPr>
        <w:t>21</w:t>
      </w:r>
      <w:r>
        <w:rPr>
          <w:rFonts w:hint="eastAsia" w:ascii="Times New Roman" w:hAnsi="Times New Roman" w:cs="Times New Roman"/>
          <w:b/>
          <w:bCs/>
          <w:sz w:val="24"/>
          <w:highlight w:val="none"/>
        </w:rPr>
        <w:t>. Fixed</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effect Fine</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Gray competing risks analysis of CIBC risk factors in Black and White patients with IDC.</w:t>
      </w:r>
    </w:p>
    <w:p w14:paraId="471C3DA4">
      <w:pPr>
        <w:widowControl/>
        <w:suppressAutoHyphens/>
        <w:kinsoku w:val="0"/>
        <w:overflowPunct w:val="0"/>
        <w:spacing w:line="360" w:lineRule="auto"/>
        <w:jc w:val="left"/>
        <w:rPr>
          <w:rFonts w:hint="eastAsia" w:ascii="Times New Roman" w:hAnsi="Times New Roman" w:cs="Times New Roman"/>
          <w:b/>
          <w:bCs/>
          <w:sz w:val="24"/>
          <w:highlight w:val="none"/>
        </w:rPr>
      </w:pPr>
      <w:r>
        <w:rPr>
          <w:rFonts w:hint="eastAsia" w:ascii="Times New Roman" w:hAnsi="Times New Roman" w:cs="Times New Roman"/>
          <w:szCs w:val="21"/>
        </w:rPr>
        <w:t xml:space="preserve">Abbreviation: HR: </w:t>
      </w:r>
      <w:r>
        <w:rPr>
          <w:rFonts w:ascii="Times New Roman" w:hAnsi="Times New Roman" w:cs="Times New Roman"/>
          <w:szCs w:val="21"/>
        </w:rPr>
        <w:t>H</w:t>
      </w:r>
      <w:r>
        <w:rPr>
          <w:rFonts w:hint="eastAsia" w:ascii="Times New Roman" w:hAnsi="Times New Roman" w:cs="Times New Roman"/>
          <w:szCs w:val="21"/>
        </w:rPr>
        <w:t>azard ratio; CI: confidence interval; ref: reference category; CIBC: contralateral invasive breast cancer; IDC: invasive ductal carcinoma; ref: reference category; HR-: ER-negative and PR-negative; HR+ (ER+/PR+), ER-positive and PR-positive; HR+ (Other): positive for either ER or PR, but not both; HR</w:t>
      </w:r>
      <w:r>
        <w:t xml:space="preserve"> </w:t>
      </w:r>
      <w:r>
        <w:rPr>
          <w:rFonts w:ascii="Times New Roman" w:hAnsi="Times New Roman" w:cs="Times New Roman"/>
          <w:szCs w:val="21"/>
        </w:rPr>
        <w:t>Equivocal</w:t>
      </w:r>
      <w:r>
        <w:rPr>
          <w:rFonts w:hint="eastAsia" w:ascii="Times New Roman" w:hAnsi="Times New Roman" w:cs="Times New Roman"/>
          <w:szCs w:val="21"/>
        </w:rPr>
        <w:t>: neither ER nor PR was positive, with at least one being borderline or unknown; N0: lymph node metastasis stage N0; N1: lymph node metastasis stage N1; N2: lymph node metastasis stage N2; N3: lymph node metastasis stage N3.</w:t>
      </w:r>
    </w:p>
    <w:p w14:paraId="1A4E855F">
      <w:pPr>
        <w:rPr>
          <w:rFonts w:hint="eastAsia"/>
          <w:lang w:val="en-US" w:eastAsia="zh-CN"/>
        </w:rPr>
      </w:pPr>
    </w:p>
    <w:p w14:paraId="6C6564EC">
      <w:pPr>
        <w:rPr>
          <w:rFonts w:hint="eastAsia"/>
          <w:lang w:val="en-US" w:eastAsia="zh-CN"/>
        </w:rPr>
      </w:pPr>
    </w:p>
    <w:p w14:paraId="1F8676BC">
      <w:pPr>
        <w:rPr>
          <w:rFonts w:hint="eastAsia"/>
          <w:lang w:val="en-US" w:eastAsia="zh-CN"/>
        </w:rPr>
      </w:pPr>
    </w:p>
    <w:p w14:paraId="2ABD18FC">
      <w:pPr>
        <w:rPr>
          <w:rFonts w:ascii="Arial" w:hAnsi="Arial" w:cs="Arial"/>
          <w:sz w:val="24"/>
          <w:highlight w:val="none"/>
        </w:rPr>
      </w:pPr>
      <w:r>
        <w:rPr>
          <w:rFonts w:ascii="Arial" w:hAnsi="Arial" w:cs="Arial"/>
          <w:b/>
          <w:bCs/>
          <w:sz w:val="24"/>
          <w:highlight w:val="none"/>
        </w:rPr>
        <w:t xml:space="preserve">Figure 1. </w:t>
      </w:r>
      <w:r>
        <w:rPr>
          <w:rFonts w:ascii="Arial" w:hAnsi="Arial" w:cs="Arial"/>
          <w:sz w:val="24"/>
          <w:highlight w:val="none"/>
        </w:rPr>
        <w:t>Time-varying effects of risk factors violating the proportional subdistribution hazard (PSH) assumption in patients with ductal carcinoma in situ (DCIS)</w:t>
      </w:r>
      <w:r>
        <w:rPr>
          <w:rFonts w:hint="eastAsia" w:ascii="Arial" w:hAnsi="Arial" w:cs="Arial"/>
          <w:sz w:val="24"/>
          <w:highlight w:val="none"/>
          <w:lang w:val="en-US" w:eastAsia="zh-CN"/>
        </w:rPr>
        <w:t>:</w:t>
      </w:r>
      <w:r>
        <w:rPr>
          <w:rFonts w:ascii="Arial" w:hAnsi="Arial" w:cs="Arial"/>
          <w:sz w:val="24"/>
          <w:highlight w:val="none"/>
        </w:rPr>
        <w:t xml:space="preserve"> cumulative regression coefficient curves (CRCC), subdistribution hazard ratios [sHR(t)], and cause-specific hazard ratio [HR(t)] curves.</w:t>
      </w:r>
    </w:p>
    <w:p w14:paraId="29EC27E4">
      <w:pPr>
        <w:widowControl/>
        <w:kinsoku w:val="0"/>
        <w:overflowPunct w:val="0"/>
        <w:spacing w:line="360" w:lineRule="auto"/>
        <w:jc w:val="left"/>
        <w:rPr>
          <w:rFonts w:ascii="Arial" w:hAnsi="Arial" w:cs="Arial"/>
          <w:sz w:val="24"/>
        </w:rPr>
      </w:pPr>
      <w:r>
        <w:rPr>
          <w:rFonts w:ascii="Arial" w:hAnsi="Arial" w:cs="Arial"/>
          <w:sz w:val="24"/>
        </w:rPr>
        <w:t>(A)(D)(G) CRCC for age ≥71, age 61-70, and micropapillary carcinoma, respectively.</w:t>
      </w:r>
    </w:p>
    <w:p w14:paraId="63C31EE2">
      <w:pPr>
        <w:widowControl/>
        <w:kinsoku w:val="0"/>
        <w:overflowPunct w:val="0"/>
        <w:spacing w:line="360" w:lineRule="auto"/>
        <w:jc w:val="left"/>
        <w:rPr>
          <w:rFonts w:ascii="Arial" w:hAnsi="Arial" w:cs="Arial"/>
          <w:sz w:val="24"/>
        </w:rPr>
      </w:pPr>
      <w:r>
        <w:rPr>
          <w:rFonts w:ascii="Arial" w:hAnsi="Arial" w:cs="Arial"/>
          <w:sz w:val="24"/>
        </w:rPr>
        <w:t>(B)(E)(H) sHR(t) curves for age ≥71, age 61-70, and micropapillary carcinoma, respectively.</w:t>
      </w:r>
    </w:p>
    <w:p w14:paraId="4F84A1C3">
      <w:pPr>
        <w:widowControl/>
        <w:kinsoku w:val="0"/>
        <w:overflowPunct w:val="0"/>
        <w:spacing w:line="360" w:lineRule="auto"/>
        <w:jc w:val="left"/>
        <w:rPr>
          <w:rFonts w:ascii="Arial" w:hAnsi="Arial" w:cs="Arial"/>
          <w:sz w:val="24"/>
        </w:rPr>
      </w:pPr>
      <w:r>
        <w:rPr>
          <w:rFonts w:ascii="Arial" w:hAnsi="Arial" w:cs="Arial"/>
          <w:sz w:val="24"/>
        </w:rPr>
        <w:t>(C)(F)(I) HR(t) curves for age ≥71, age 61-70, and micropapillary carcinoma, respectively.</w:t>
      </w:r>
    </w:p>
    <w:p w14:paraId="5CADFA27">
      <w:pPr>
        <w:rPr>
          <w:rFonts w:hint="default" w:ascii="Arial" w:hAnsi="Arial" w:cs="Arial"/>
          <w:sz w:val="24"/>
          <w:highlight w:val="none"/>
          <w:lang w:val="en-US" w:eastAsia="zh-CN"/>
        </w:rPr>
      </w:pPr>
    </w:p>
    <w:p w14:paraId="69E0B1DB">
      <w:pPr>
        <w:rPr>
          <w:rFonts w:hint="default"/>
          <w:highlight w:val="none"/>
          <w:lang w:val="en-US" w:eastAsia="zh-CN"/>
        </w:rPr>
      </w:pPr>
    </w:p>
    <w:p w14:paraId="20FF93A7">
      <w:pPr>
        <w:widowControl/>
        <w:kinsoku w:val="0"/>
        <w:overflowPunct w:val="0"/>
        <w:spacing w:line="360" w:lineRule="auto"/>
        <w:rPr>
          <w:rFonts w:ascii="Arial" w:hAnsi="Arial" w:cs="Arial"/>
          <w:b/>
          <w:bCs/>
          <w:sz w:val="24"/>
          <w:highlight w:val="none"/>
        </w:rPr>
      </w:pPr>
      <w:r>
        <w:rPr>
          <w:rFonts w:ascii="Arial" w:hAnsi="Arial" w:cs="Arial"/>
          <w:b/>
          <w:bCs/>
          <w:sz w:val="24"/>
          <w:highlight w:val="none"/>
        </w:rPr>
        <w:t xml:space="preserve">Figure 2. </w:t>
      </w:r>
      <w:r>
        <w:rPr>
          <w:rFonts w:ascii="Arial" w:hAnsi="Arial" w:cs="Arial"/>
          <w:sz w:val="24"/>
          <w:highlight w:val="none"/>
        </w:rPr>
        <w:t>Time-varying effects of selected risk factors violating the proportional subdistribution hazard assumption in patients with invasive ductal carcinoma: age</w:t>
      </w:r>
      <w:r>
        <w:rPr>
          <w:rFonts w:hint="eastAsia" w:ascii="Arial" w:hAnsi="Arial" w:cs="Arial"/>
          <w:sz w:val="24"/>
          <w:highlight w:val="none"/>
          <w:lang w:val="en-US" w:eastAsia="zh-CN"/>
        </w:rPr>
        <w:t xml:space="preserve"> </w:t>
      </w:r>
      <w:r>
        <w:rPr>
          <w:rFonts w:ascii="Arial" w:hAnsi="Arial" w:cs="Arial"/>
          <w:sz w:val="24"/>
        </w:rPr>
        <w:t>≥</w:t>
      </w:r>
      <w:r>
        <w:rPr>
          <w:rFonts w:ascii="Arial" w:hAnsi="Arial" w:cs="Arial"/>
          <w:sz w:val="24"/>
          <w:highlight w:val="none"/>
        </w:rPr>
        <w:t>71, lymph node metastasis stage N3 (N3), and tumors &gt;5 cm [cumulative regression coefficient curves (CRCC), subdistribution hazard ratio [sHR(t)], and cause-specific hazard ratio (HR(t))] curves.</w:t>
      </w:r>
    </w:p>
    <w:p w14:paraId="07D01F46">
      <w:pPr>
        <w:widowControl/>
        <w:kinsoku w:val="0"/>
        <w:overflowPunct w:val="0"/>
        <w:spacing w:line="360" w:lineRule="auto"/>
        <w:jc w:val="left"/>
        <w:rPr>
          <w:rFonts w:ascii="Arial" w:hAnsi="Arial" w:cs="Arial"/>
          <w:sz w:val="24"/>
        </w:rPr>
      </w:pPr>
      <w:r>
        <w:rPr>
          <w:rFonts w:ascii="Arial" w:hAnsi="Arial" w:cs="Arial"/>
          <w:sz w:val="24"/>
        </w:rPr>
        <w:t>(a)(d)(g) CRCC for age ≥71, N3, and tumors &gt;5 cm, respectively.</w:t>
      </w:r>
    </w:p>
    <w:p w14:paraId="564C7D58">
      <w:pPr>
        <w:widowControl/>
        <w:kinsoku w:val="0"/>
        <w:overflowPunct w:val="0"/>
        <w:spacing w:line="360" w:lineRule="auto"/>
        <w:jc w:val="left"/>
        <w:rPr>
          <w:rFonts w:ascii="Arial" w:hAnsi="Arial" w:cs="Arial"/>
          <w:sz w:val="24"/>
        </w:rPr>
      </w:pPr>
      <w:r>
        <w:rPr>
          <w:rFonts w:ascii="Arial" w:hAnsi="Arial" w:cs="Arial"/>
          <w:sz w:val="24"/>
        </w:rPr>
        <w:t>(b)(e)(h) sHR(t) curves for age ≥71, N3, and tumors &gt;5 cm, respectively.</w:t>
      </w:r>
    </w:p>
    <w:p w14:paraId="4F718CA8">
      <w:pPr>
        <w:widowControl/>
        <w:kinsoku w:val="0"/>
        <w:overflowPunct w:val="0"/>
        <w:spacing w:line="360" w:lineRule="auto"/>
        <w:jc w:val="left"/>
        <w:rPr>
          <w:rFonts w:ascii="Arial" w:hAnsi="Arial" w:cs="Arial"/>
          <w:sz w:val="24"/>
        </w:rPr>
      </w:pPr>
      <w:r>
        <w:rPr>
          <w:rFonts w:ascii="Arial" w:hAnsi="Arial" w:cs="Arial"/>
          <w:sz w:val="24"/>
        </w:rPr>
        <w:t>(c)(f)(i) HR(t) curves for age ≥71, N3, and tumors &gt;5 cm, respectively.</w:t>
      </w:r>
    </w:p>
    <w:p w14:paraId="2FA1569F">
      <w:pPr>
        <w:rPr>
          <w:rFonts w:hint="default"/>
          <w:highlight w:val="none"/>
          <w:lang w:val="en-US" w:eastAsia="zh-CN"/>
        </w:rPr>
      </w:pPr>
    </w:p>
    <w:p w14:paraId="63356D5D">
      <w:pPr>
        <w:spacing w:line="360" w:lineRule="auto"/>
        <w:rPr>
          <w:rFonts w:ascii="Arial" w:hAnsi="Arial" w:cs="Arial"/>
          <w:b/>
          <w:bCs/>
          <w:sz w:val="24"/>
          <w:highlight w:val="none"/>
        </w:rPr>
      </w:pPr>
      <w:r>
        <w:rPr>
          <w:rFonts w:ascii="Arial" w:hAnsi="Arial" w:cs="Arial"/>
          <w:b/>
          <w:bCs/>
          <w:sz w:val="24"/>
          <w:highlight w:val="none"/>
        </w:rPr>
        <w:t xml:space="preserve">Figure 3. </w:t>
      </w:r>
      <w:r>
        <w:rPr>
          <w:rFonts w:ascii="Arial" w:hAnsi="Arial" w:cs="Arial"/>
          <w:sz w:val="24"/>
          <w:highlight w:val="none"/>
        </w:rPr>
        <w:t xml:space="preserve">Mortality cause-specific hazard ratio [HR(t)] curves for selected risk factors violating the proportional subdistribution hazard (PSH) assumption in patients with invasive ductal carcinoma: age </w:t>
      </w:r>
      <w:r>
        <w:rPr>
          <w:rFonts w:ascii="Arial" w:hAnsi="Arial" w:cs="Arial"/>
          <w:sz w:val="24"/>
        </w:rPr>
        <w:t>≥</w:t>
      </w:r>
      <w:r>
        <w:rPr>
          <w:rFonts w:ascii="Arial" w:hAnsi="Arial" w:cs="Arial"/>
          <w:sz w:val="24"/>
          <w:highlight w:val="none"/>
        </w:rPr>
        <w:t>71, N3, and tumors &gt;5 cm.</w:t>
      </w:r>
    </w:p>
    <w:p w14:paraId="13B163C0">
      <w:pPr>
        <w:spacing w:line="360" w:lineRule="auto"/>
        <w:jc w:val="left"/>
        <w:rPr>
          <w:rFonts w:ascii="Arial" w:hAnsi="Arial" w:cs="Arial"/>
          <w:sz w:val="24"/>
        </w:rPr>
      </w:pPr>
      <w:r>
        <w:rPr>
          <w:rFonts w:ascii="Arial" w:hAnsi="Arial" w:cs="Arial"/>
          <w:sz w:val="24"/>
        </w:rPr>
        <w:t xml:space="preserve">(A) Mortality HR(t) curves for age ≥71. </w:t>
      </w:r>
    </w:p>
    <w:p w14:paraId="174C83DC">
      <w:pPr>
        <w:spacing w:line="360" w:lineRule="auto"/>
        <w:jc w:val="left"/>
        <w:rPr>
          <w:rFonts w:ascii="Arial" w:hAnsi="Arial" w:cs="Arial"/>
          <w:sz w:val="24"/>
        </w:rPr>
      </w:pPr>
      <w:r>
        <w:rPr>
          <w:rFonts w:ascii="Arial" w:hAnsi="Arial" w:cs="Arial"/>
          <w:sz w:val="24"/>
        </w:rPr>
        <w:t xml:space="preserve">(B) Mortality HR(t) curves for lymph node metastasis stage N3 (N3). </w:t>
      </w:r>
    </w:p>
    <w:p w14:paraId="6D6B50DB">
      <w:pPr>
        <w:spacing w:line="360" w:lineRule="auto"/>
        <w:jc w:val="left"/>
        <w:rPr>
          <w:rFonts w:ascii="Arial" w:hAnsi="Arial" w:cs="Arial"/>
          <w:sz w:val="24"/>
        </w:rPr>
      </w:pPr>
      <w:r>
        <w:rPr>
          <w:rFonts w:ascii="Arial" w:hAnsi="Arial" w:cs="Arial"/>
          <w:sz w:val="24"/>
        </w:rPr>
        <w:t>(C) Mortality HR(t) curves for tumors &gt;5 cm.</w:t>
      </w:r>
    </w:p>
    <w:p w14:paraId="6DEE7A42">
      <w:pPr>
        <w:rPr>
          <w:rFonts w:hint="default"/>
          <w:highlight w:val="none"/>
          <w:lang w:val="en-US" w:eastAsia="zh-CN"/>
        </w:rPr>
      </w:pPr>
    </w:p>
    <w:p w14:paraId="43C28E99">
      <w:pPr>
        <w:spacing w:line="360" w:lineRule="auto"/>
        <w:rPr>
          <w:rFonts w:ascii="Arial" w:hAnsi="Arial" w:cs="Arial"/>
          <w:sz w:val="24"/>
          <w:highlight w:val="none"/>
        </w:rPr>
      </w:pPr>
      <w:r>
        <w:rPr>
          <w:rFonts w:ascii="Arial" w:hAnsi="Arial" w:cs="Arial"/>
          <w:b/>
          <w:bCs/>
          <w:sz w:val="24"/>
          <w:highlight w:val="none"/>
        </w:rPr>
        <w:t xml:space="preserve">Figure 4. </w:t>
      </w:r>
      <w:r>
        <w:rPr>
          <w:rFonts w:ascii="Arial" w:hAnsi="Arial" w:cs="Arial"/>
          <w:sz w:val="24"/>
          <w:highlight w:val="none"/>
        </w:rPr>
        <w:t>Confounder-adjusted cumulative incidence curves (CIC) of contralateral invasive breast cancer (CIBC) for risk factors violating the PSH assumption in patients with invasive ductal carcinoma (IDC).</w:t>
      </w:r>
    </w:p>
    <w:p w14:paraId="19E55615">
      <w:pPr>
        <w:spacing w:line="360" w:lineRule="auto"/>
        <w:rPr>
          <w:rFonts w:ascii="Arial" w:hAnsi="Arial" w:cs="Arial"/>
          <w:sz w:val="24"/>
        </w:rPr>
      </w:pPr>
      <w:r>
        <w:rPr>
          <w:rFonts w:ascii="Arial" w:hAnsi="Arial" w:cs="Arial"/>
          <w:sz w:val="24"/>
        </w:rPr>
        <w:t xml:space="preserve">(A) Confounder-adjusted CIC for age. </w:t>
      </w:r>
    </w:p>
    <w:p w14:paraId="0E241695">
      <w:pPr>
        <w:spacing w:line="360" w:lineRule="auto"/>
        <w:rPr>
          <w:rFonts w:ascii="Arial" w:hAnsi="Arial" w:cs="Arial"/>
          <w:sz w:val="24"/>
        </w:rPr>
      </w:pPr>
      <w:r>
        <w:rPr>
          <w:rFonts w:ascii="Arial" w:hAnsi="Arial" w:cs="Arial"/>
          <w:sz w:val="24"/>
        </w:rPr>
        <w:t xml:space="preserve">(B) Confounder-adjusted CIC for lymph node metastasis stage. </w:t>
      </w:r>
    </w:p>
    <w:p w14:paraId="19831963">
      <w:pPr>
        <w:spacing w:line="360" w:lineRule="auto"/>
        <w:rPr>
          <w:rFonts w:ascii="Arial" w:hAnsi="Arial" w:cs="Arial"/>
          <w:sz w:val="24"/>
        </w:rPr>
      </w:pPr>
      <w:r>
        <w:rPr>
          <w:rFonts w:ascii="Arial" w:hAnsi="Arial" w:cs="Arial"/>
          <w:sz w:val="24"/>
        </w:rPr>
        <w:t xml:space="preserve">(C) Confounder-adjusted CIC for tumor size. </w:t>
      </w:r>
    </w:p>
    <w:p w14:paraId="5BDF02A3">
      <w:pPr>
        <w:spacing w:line="360" w:lineRule="auto"/>
        <w:rPr>
          <w:rFonts w:ascii="Arial" w:hAnsi="Arial" w:cs="Arial"/>
          <w:szCs w:val="21"/>
        </w:rPr>
      </w:pPr>
      <w:r>
        <w:rPr>
          <w:rFonts w:ascii="Arial" w:hAnsi="Arial" w:cs="Arial"/>
          <w:szCs w:val="21"/>
        </w:rPr>
        <w:t>Abbreviation:</w:t>
      </w:r>
      <w:r>
        <w:rPr>
          <w:rFonts w:hint="eastAsia" w:ascii="Arial" w:hAnsi="Arial" w:cs="Arial"/>
          <w:szCs w:val="21"/>
          <w:lang w:val="en-US" w:eastAsia="zh-CN"/>
        </w:rPr>
        <w:t xml:space="preserve"> </w:t>
      </w:r>
      <w:r>
        <w:rPr>
          <w:rFonts w:ascii="Arial" w:hAnsi="Arial" w:cs="Arial"/>
          <w:szCs w:val="21"/>
        </w:rPr>
        <w:t>PSH: Proportional subdistribution hazard.</w:t>
      </w:r>
    </w:p>
    <w:p w14:paraId="4E26949A">
      <w:pPr>
        <w:spacing w:line="360" w:lineRule="auto"/>
        <w:rPr>
          <w:rFonts w:hint="default" w:ascii="Arial" w:hAnsi="Arial" w:cs="Arial" w:eastAsiaTheme="minorEastAsia"/>
          <w:szCs w:val="21"/>
          <w:lang w:val="en-US" w:eastAsia="zh-CN"/>
        </w:rPr>
      </w:pPr>
      <w:r>
        <w:rPr>
          <w:rFonts w:hint="eastAsia" w:ascii="Arial" w:hAnsi="Arial" w:cs="Arial"/>
          <w:szCs w:val="21"/>
          <w:lang w:val="en-US" w:eastAsia="zh-CN"/>
        </w:rPr>
        <w:t>Note: Confounder-adjusted cumulative incidence curves are presented only for variables violating the PSH assumption. Variables satisfying the PSH assumption (age 51-60, N1 lymph node metastasis) are not shown.</w:t>
      </w:r>
    </w:p>
    <w:p w14:paraId="30424C6B">
      <w:pPr>
        <w:rPr>
          <w:rFonts w:hint="default"/>
          <w:highlight w:val="none"/>
          <w:lang w:val="en-US" w:eastAsia="zh-CN"/>
        </w:rPr>
      </w:pPr>
    </w:p>
    <w:p w14:paraId="329091A2">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1. Schematic overview of the analytical workflow.</w:t>
      </w:r>
    </w:p>
    <w:p w14:paraId="03C35EBC">
      <w:pPr>
        <w:rPr>
          <w:rFonts w:hint="default"/>
          <w:highlight w:val="none"/>
          <w:lang w:val="en-US" w:eastAsia="zh-CN"/>
        </w:rPr>
      </w:pPr>
    </w:p>
    <w:p w14:paraId="0D51745C">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2. Mortality HR(t) curves for risk factors violating the PSH assumption in patients with DCIS.</w:t>
      </w:r>
    </w:p>
    <w:p w14:paraId="39E21EAE">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 Mortality HR(t) curves</w:t>
      </w:r>
      <w:r>
        <w:rPr>
          <w:rFonts w:hint="eastAsia" w:ascii="Times New Roman" w:hAnsi="Times New Roman" w:cs="Times New Roman"/>
          <w:sz w:val="24"/>
          <w:highlight w:val="none"/>
        </w:rPr>
        <w:t xml:space="preserve"> </w:t>
      </w:r>
      <w:r>
        <w:rPr>
          <w:rFonts w:ascii="Times New Roman" w:hAnsi="Times New Roman" w:cs="Times New Roman"/>
          <w:sz w:val="24"/>
          <w:highlight w:val="none"/>
        </w:rPr>
        <w:t xml:space="preserve">for age ≥71. </w:t>
      </w:r>
    </w:p>
    <w:p w14:paraId="2800772B">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 Mortality HR(t) curves</w:t>
      </w:r>
      <w:r>
        <w:rPr>
          <w:rFonts w:hint="eastAsia" w:ascii="Times New Roman" w:hAnsi="Times New Roman" w:cs="Times New Roman"/>
          <w:sz w:val="24"/>
          <w:highlight w:val="none"/>
        </w:rPr>
        <w:t xml:space="preserve"> </w:t>
      </w:r>
      <w:r>
        <w:rPr>
          <w:rFonts w:ascii="Times New Roman" w:hAnsi="Times New Roman" w:cs="Times New Roman"/>
          <w:sz w:val="24"/>
          <w:highlight w:val="none"/>
        </w:rPr>
        <w:t>for age 61-70.</w:t>
      </w:r>
    </w:p>
    <w:p w14:paraId="451128A0">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 Mortality HR(t) curves</w:t>
      </w:r>
      <w:r>
        <w:rPr>
          <w:rFonts w:hint="eastAsia" w:ascii="Times New Roman" w:hAnsi="Times New Roman" w:cs="Times New Roman"/>
          <w:sz w:val="24"/>
          <w:highlight w:val="none"/>
        </w:rPr>
        <w:t xml:space="preserve"> </w:t>
      </w:r>
      <w:r>
        <w:rPr>
          <w:rFonts w:ascii="Times New Roman" w:hAnsi="Times New Roman" w:cs="Times New Roman"/>
          <w:sz w:val="24"/>
          <w:highlight w:val="none"/>
        </w:rPr>
        <w:t>for micropapillary carcinoma.</w:t>
      </w:r>
    </w:p>
    <w:p w14:paraId="7CD332F2">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HR(t), cause-specific hazard ratio; DCIS, ductal carcinoma in situ; PSH, proportional subdistribution hazard.</w:t>
      </w:r>
    </w:p>
    <w:p w14:paraId="233712E0">
      <w:pPr>
        <w:spacing w:line="360" w:lineRule="auto"/>
        <w:jc w:val="left"/>
        <w:rPr>
          <w:rFonts w:ascii="Times New Roman" w:hAnsi="Times New Roman" w:cs="Times New Roman"/>
          <w:b/>
          <w:bCs/>
          <w:sz w:val="24"/>
          <w:highlight w:val="none"/>
        </w:rPr>
      </w:pPr>
    </w:p>
    <w:p w14:paraId="738261A7">
      <w:pPr>
        <w:spacing w:line="360" w:lineRule="auto"/>
        <w:jc w:val="left"/>
        <w:rPr>
          <w:rFonts w:ascii="Times New Roman" w:hAnsi="Times New Roman" w:cs="Times New Roman"/>
          <w:b/>
          <w:bCs/>
          <w:sz w:val="24"/>
          <w:highlight w:val="none"/>
        </w:rPr>
      </w:pPr>
      <w:r>
        <w:rPr>
          <w:rFonts w:ascii="Times New Roman" w:hAnsi="Times New Roman" w:cs="Times New Roman"/>
          <w:b/>
          <w:bCs/>
          <w:sz w:val="24"/>
          <w:highlight w:val="none"/>
        </w:rPr>
        <w:t>Supplementary Figure 3. Confounder</w:t>
      </w:r>
      <w:r>
        <w:rPr>
          <w:rFonts w:ascii="Times New Roman" w:hAnsi="Times New Roman" w:cs="Times New Roman"/>
          <w:sz w:val="24"/>
          <w:highlight w:val="none"/>
        </w:rPr>
        <w:t>-</w:t>
      </w:r>
      <w:r>
        <w:rPr>
          <w:rFonts w:ascii="Times New Roman" w:hAnsi="Times New Roman" w:cs="Times New Roman"/>
          <w:b/>
          <w:bCs/>
          <w:sz w:val="24"/>
          <w:highlight w:val="none"/>
        </w:rPr>
        <w:t>adjusted CIC of CIBC for risk factors violating the PSH assumption in patients with DCIS: age groups.</w:t>
      </w:r>
    </w:p>
    <w:p w14:paraId="2375BBE8">
      <w:pPr>
        <w:spacing w:line="360" w:lineRule="auto"/>
        <w:rPr>
          <w:rFonts w:ascii="Times New Roman" w:hAnsi="Times New Roman" w:cs="Times New Roman"/>
          <w:szCs w:val="21"/>
          <w:highlight w:val="none"/>
        </w:rPr>
      </w:pPr>
      <w:r>
        <w:rPr>
          <w:rFonts w:ascii="Times New Roman" w:hAnsi="Times New Roman" w:cs="Times New Roman"/>
          <w:szCs w:val="21"/>
          <w:highlight w:val="none"/>
        </w:rPr>
        <w:t>Abbreviations: CIC, cumulative incidence curves; CIBC, contralateral invasive breast cancer; DCIS, ductal carcinoma in situ; PSH, proportional subdistribution hazard.</w:t>
      </w:r>
    </w:p>
    <w:p w14:paraId="4D116EC5">
      <w:pPr>
        <w:rPr>
          <w:rFonts w:hint="default"/>
          <w:highlight w:val="none"/>
          <w:lang w:val="en-US" w:eastAsia="zh-CN"/>
        </w:rPr>
      </w:pPr>
    </w:p>
    <w:p w14:paraId="363C546A">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4. Confounder</w:t>
      </w:r>
      <w:r>
        <w:rPr>
          <w:rFonts w:ascii="Times New Roman" w:hAnsi="Times New Roman" w:cs="Times New Roman"/>
          <w:sz w:val="24"/>
          <w:highlight w:val="none"/>
        </w:rPr>
        <w:t>-</w:t>
      </w:r>
      <w:r>
        <w:rPr>
          <w:rFonts w:ascii="Times New Roman" w:hAnsi="Times New Roman" w:cs="Times New Roman"/>
          <w:b/>
          <w:bCs/>
          <w:sz w:val="24"/>
          <w:highlight w:val="none"/>
        </w:rPr>
        <w:t>adjusted CIC of CIBC for risk factors violating the PSH assumption in patients with DCIS: micropapillary carcinoma.</w:t>
      </w:r>
    </w:p>
    <w:p w14:paraId="1DB7BE63">
      <w:pPr>
        <w:spacing w:line="360" w:lineRule="auto"/>
        <w:rPr>
          <w:rFonts w:ascii="Times New Roman" w:hAnsi="Times New Roman" w:cs="Times New Roman"/>
          <w:szCs w:val="21"/>
          <w:highlight w:val="none"/>
        </w:rPr>
      </w:pPr>
      <w:r>
        <w:rPr>
          <w:rFonts w:ascii="Times New Roman" w:hAnsi="Times New Roman" w:cs="Times New Roman"/>
          <w:szCs w:val="21"/>
          <w:highlight w:val="none"/>
        </w:rPr>
        <w:t>Abbreviations: CIC, cumulative incidence curves; CIBC, contralateral invasive breast cancer; DCIS, ductal carcinoma in situ; PSH, proportional subdistribution hazard.</w:t>
      </w:r>
    </w:p>
    <w:p w14:paraId="03D63E87">
      <w:pPr>
        <w:rPr>
          <w:rFonts w:hint="default"/>
          <w:highlight w:val="none"/>
          <w:lang w:val="en-US" w:eastAsia="zh-CN"/>
        </w:rPr>
      </w:pPr>
    </w:p>
    <w:p w14:paraId="4540D20D">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5. Time</w:t>
      </w:r>
      <w:r>
        <w:rPr>
          <w:rFonts w:ascii="Times New Roman" w:hAnsi="Times New Roman" w:cs="Times New Roman"/>
          <w:sz w:val="24"/>
          <w:highlight w:val="none"/>
        </w:rPr>
        <w:t>-</w:t>
      </w:r>
      <w:r>
        <w:rPr>
          <w:rFonts w:ascii="Times New Roman" w:hAnsi="Times New Roman" w:cs="Times New Roman"/>
          <w:b/>
          <w:bCs/>
          <w:sz w:val="24"/>
          <w:highlight w:val="none"/>
        </w:rPr>
        <w:t>varying analysis of CIBC risk factors in White patients with DCIS: 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0E574A65">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(a)(d)(g) CRCC for age ≥71, age 61-70, and micropapillary carcinoma, respectively.</w:t>
      </w:r>
    </w:p>
    <w:p w14:paraId="45CDCDBF">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(b)(e)(h) sHR(t) curves for age ≥71, age 61-70, and micropapillary carcinoma, respectively.</w:t>
      </w:r>
    </w:p>
    <w:p w14:paraId="035AF60D">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(c)(f)(i) HR(t) curves for age ≥71, age 61-70, and micropapillary carcinoma, respectively.</w:t>
      </w:r>
    </w:p>
    <w:p w14:paraId="66E2FC46">
      <w:pPr>
        <w:rPr>
          <w:rFonts w:hint="eastAsia"/>
          <w:highlight w:val="none"/>
          <w:lang w:val="en-US" w:eastAsia="zh-CN"/>
        </w:rPr>
      </w:pPr>
      <w:r>
        <w:rPr>
          <w:rFonts w:ascii="Times New Roman" w:hAnsi="Times New Roman" w:cs="Times New Roman"/>
          <w:szCs w:val="21"/>
          <w:highlight w:val="none"/>
        </w:rPr>
        <w:t>Abbreviations: CRCC, cumulative regression coefficient curves; sHR(t), subdistribution hazard ratios; HR(t), cause-specific hazard ratio; DCIS, ductal carcinoma in situ; PSH, proportional subdistribution hazard.</w:t>
      </w:r>
    </w:p>
    <w:p w14:paraId="4EACF966">
      <w:pPr>
        <w:rPr>
          <w:rFonts w:hint="default"/>
          <w:highlight w:val="none"/>
          <w:lang w:val="en-US" w:eastAsia="zh-CN"/>
        </w:rPr>
      </w:pPr>
    </w:p>
    <w:p w14:paraId="11A5DD0F">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6. Time</w:t>
      </w:r>
      <w:r>
        <w:rPr>
          <w:rFonts w:ascii="Times New Roman" w:hAnsi="Times New Roman" w:cs="Times New Roman"/>
          <w:sz w:val="24"/>
          <w:highlight w:val="none"/>
        </w:rPr>
        <w:t>-</w:t>
      </w:r>
      <w:r>
        <w:rPr>
          <w:rFonts w:ascii="Times New Roman" w:hAnsi="Times New Roman" w:cs="Times New Roman"/>
          <w:b/>
          <w:bCs/>
          <w:sz w:val="24"/>
          <w:highlight w:val="none"/>
        </w:rPr>
        <w:t>varying analysis of CIBC risk in Black versus White patients with DCIS: 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1B544DF2">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(a)(d)(g) CRCC for age ≥71, age 61-70, and micropapillary carcinoma, respectively.</w:t>
      </w:r>
    </w:p>
    <w:p w14:paraId="0C3F00E1">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(b)(e)(h) sHR(t) curves for age ≥71, age 61-70, and micropapillary carcinoma, respectively.</w:t>
      </w:r>
    </w:p>
    <w:p w14:paraId="6811618C">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(c)(f)(i) HR(t) curves for age ≥71, age 61-70, and micropapillary carcinoma, respectively.</w:t>
      </w:r>
    </w:p>
    <w:p w14:paraId="46AF76FD">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CRCC, cumulative regression coefficient curves; sHR(t), subdistribution hazard ratios; HR(t), cause-specific hazard ratio; DCIS, ductal carcinoma in situ; PSH, proportional subdistribution hazard.</w:t>
      </w:r>
    </w:p>
    <w:p w14:paraId="701F5106">
      <w:pPr>
        <w:rPr>
          <w:rFonts w:hint="default" w:ascii="Times New Roman" w:hAnsi="Times New Roman" w:cs="Times New Roman"/>
          <w:b/>
          <w:bCs/>
          <w:sz w:val="24"/>
          <w:highlight w:val="none"/>
          <w:lang w:val="en-US" w:eastAsia="zh-CN"/>
        </w:rPr>
      </w:pPr>
    </w:p>
    <w:p w14:paraId="714B6A7C">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7. Cumulative incidence curves (CIC) of death for Black and White patients with DCIS: age groups 61</w:t>
      </w:r>
      <w:r>
        <w:rPr>
          <w:rFonts w:ascii="Times New Roman" w:hAnsi="Times New Roman" w:cs="Times New Roman"/>
          <w:sz w:val="24"/>
          <w:highlight w:val="none"/>
        </w:rPr>
        <w:t>-</w:t>
      </w:r>
      <w:r>
        <w:rPr>
          <w:rFonts w:ascii="Times New Roman" w:hAnsi="Times New Roman" w:cs="Times New Roman"/>
          <w:b/>
          <w:bCs/>
          <w:sz w:val="24"/>
          <w:highlight w:val="none"/>
        </w:rPr>
        <w:t>70 and ≥71.</w:t>
      </w:r>
    </w:p>
    <w:p w14:paraId="6C0370FF">
      <w:pPr>
        <w:spacing w:line="360" w:lineRule="auto"/>
        <w:rPr>
          <w:rFonts w:ascii="Times New Roman" w:hAnsi="Times New Roman" w:cs="Times New Roman"/>
          <w:szCs w:val="21"/>
          <w:highlight w:val="none"/>
        </w:rPr>
      </w:pPr>
      <w:r>
        <w:rPr>
          <w:rFonts w:ascii="Times New Roman" w:hAnsi="Times New Roman" w:cs="Times New Roman"/>
          <w:szCs w:val="21"/>
          <w:highlight w:val="none"/>
        </w:rPr>
        <w:t>Abbreviations: DCIS, ductal carcinoma in situ.</w:t>
      </w:r>
    </w:p>
    <w:p w14:paraId="4B34CF84">
      <w:pPr>
        <w:rPr>
          <w:rFonts w:hint="default"/>
          <w:highlight w:val="none"/>
          <w:lang w:val="en-US" w:eastAsia="zh-CN"/>
        </w:rPr>
      </w:pPr>
    </w:p>
    <w:p w14:paraId="2E74F6E9">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8. Cumulative incidence curves (CIC) of death for Black and White patients with DCIS: micropapillary carcinoma.</w:t>
      </w:r>
    </w:p>
    <w:p w14:paraId="0B6F9D69">
      <w:pPr>
        <w:spacing w:line="360" w:lineRule="auto"/>
        <w:rPr>
          <w:rFonts w:ascii="Times New Roman" w:hAnsi="Times New Roman" w:cs="Times New Roman"/>
          <w:szCs w:val="21"/>
          <w:highlight w:val="none"/>
        </w:rPr>
      </w:pPr>
      <w:r>
        <w:rPr>
          <w:rFonts w:ascii="Times New Roman" w:hAnsi="Times New Roman" w:cs="Times New Roman"/>
          <w:szCs w:val="21"/>
          <w:highlight w:val="none"/>
        </w:rPr>
        <w:t>Abbreviations: DCIS, ductal carcinoma in situ.</w:t>
      </w:r>
    </w:p>
    <w:p w14:paraId="204E008E">
      <w:pPr>
        <w:rPr>
          <w:rFonts w:hint="default"/>
          <w:highlight w:val="none"/>
          <w:lang w:val="en-US" w:eastAsia="zh-CN"/>
        </w:rPr>
      </w:pPr>
    </w:p>
    <w:p w14:paraId="4A111EFC">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9.Confounder</w:t>
      </w:r>
      <w:r>
        <w:rPr>
          <w:rFonts w:ascii="Times New Roman" w:hAnsi="Times New Roman" w:cs="Times New Roman"/>
          <w:sz w:val="24"/>
          <w:highlight w:val="none"/>
        </w:rPr>
        <w:t>-</w:t>
      </w:r>
      <w:r>
        <w:rPr>
          <w:rFonts w:ascii="Times New Roman" w:hAnsi="Times New Roman" w:cs="Times New Roman"/>
          <w:b/>
          <w:bCs/>
          <w:sz w:val="24"/>
          <w:highlight w:val="none"/>
        </w:rPr>
        <w:t xml:space="preserve">adjusted </w:t>
      </w:r>
      <w:r>
        <w:rPr>
          <w:rFonts w:hint="eastAsia" w:ascii="Times New Roman" w:hAnsi="Times New Roman" w:cs="Times New Roman"/>
          <w:b/>
          <w:bCs/>
          <w:sz w:val="24"/>
          <w:highlight w:val="none"/>
        </w:rPr>
        <w:t>CIC</w:t>
      </w:r>
      <w:r>
        <w:rPr>
          <w:rFonts w:ascii="Times New Roman" w:hAnsi="Times New Roman" w:cs="Times New Roman"/>
          <w:b/>
          <w:bCs/>
          <w:sz w:val="24"/>
          <w:highlight w:val="none"/>
        </w:rPr>
        <w:t xml:space="preserve"> of CIBC stratified by risk factors with violated </w:t>
      </w:r>
      <w:r>
        <w:rPr>
          <w:rFonts w:hint="eastAsia" w:ascii="Times New Roman" w:hAnsi="Times New Roman" w:cs="Times New Roman"/>
          <w:b/>
          <w:bCs/>
          <w:sz w:val="24"/>
          <w:highlight w:val="none"/>
        </w:rPr>
        <w:t>PSH</w:t>
      </w:r>
      <w:r>
        <w:rPr>
          <w:rFonts w:ascii="Times New Roman" w:hAnsi="Times New Roman" w:cs="Times New Roman"/>
          <w:b/>
          <w:bCs/>
          <w:sz w:val="24"/>
          <w:highlight w:val="none"/>
        </w:rPr>
        <w:t xml:space="preserve"> assumption in Black and White patients with DCIS</w:t>
      </w:r>
      <w:r>
        <w:rPr>
          <w:rFonts w:hint="eastAsia" w:ascii="Times New Roman" w:hAnsi="Times New Roman" w:cs="Times New Roman"/>
          <w:b/>
          <w:bCs/>
          <w:sz w:val="24"/>
          <w:highlight w:val="none"/>
          <w:lang w:val="en-US" w:eastAsia="zh-CN"/>
        </w:rPr>
        <w:t>.</w:t>
      </w:r>
      <w:r>
        <w:rPr>
          <w:rFonts w:ascii="Times New Roman" w:hAnsi="Times New Roman" w:cs="Times New Roman"/>
          <w:b/>
          <w:bCs/>
          <w:sz w:val="24"/>
          <w:highlight w:val="none"/>
        </w:rPr>
        <w:t xml:space="preserve"> </w:t>
      </w:r>
    </w:p>
    <w:p w14:paraId="63859BB0">
      <w:pPr>
        <w:spacing w:line="360" w:lineRule="auto"/>
        <w:rPr>
          <w:rFonts w:ascii="Times New Roman" w:hAnsi="Times New Roman" w:cs="Times New Roman"/>
          <w:sz w:val="24"/>
          <w:highlight w:val="none"/>
        </w:rPr>
      </w:pPr>
      <w:r>
        <w:rPr>
          <w:rFonts w:ascii="Times New Roman" w:hAnsi="Times New Roman" w:cs="Times New Roman"/>
          <w:sz w:val="24"/>
          <w:highlight w:val="none"/>
        </w:rPr>
        <w:t>(a) Confounder-adjusted CIC of CIBC across age groups in Black patients with DCIS</w:t>
      </w:r>
      <w:r>
        <w:rPr>
          <w:rFonts w:hint="eastAsia" w:ascii="Times New Roman" w:hAnsi="Times New Roman" w:cs="Times New Roman"/>
          <w:sz w:val="24"/>
          <w:highlight w:val="none"/>
        </w:rPr>
        <w:t>.</w:t>
      </w:r>
    </w:p>
    <w:p w14:paraId="1A3B7543">
      <w:pPr>
        <w:spacing w:line="360" w:lineRule="auto"/>
        <w:rPr>
          <w:rFonts w:ascii="Times New Roman" w:hAnsi="Times New Roman" w:cs="Times New Roman"/>
          <w:sz w:val="24"/>
          <w:highlight w:val="none"/>
        </w:rPr>
      </w:pPr>
      <w:r>
        <w:rPr>
          <w:rFonts w:ascii="Times New Roman" w:hAnsi="Times New Roman" w:cs="Times New Roman"/>
          <w:sz w:val="24"/>
          <w:highlight w:val="none"/>
        </w:rPr>
        <w:t>(b) Confounder-adjusted CIC of CIBC stratified by micropapillary carcinoma status in Black patients with DCIS</w:t>
      </w:r>
      <w:r>
        <w:rPr>
          <w:rFonts w:hint="eastAsia" w:ascii="Times New Roman" w:hAnsi="Times New Roman" w:cs="Times New Roman"/>
          <w:sz w:val="24"/>
          <w:highlight w:val="none"/>
        </w:rPr>
        <w:t>.</w:t>
      </w:r>
    </w:p>
    <w:p w14:paraId="3FC314A0">
      <w:pPr>
        <w:spacing w:line="360" w:lineRule="auto"/>
        <w:rPr>
          <w:rFonts w:ascii="Times New Roman" w:hAnsi="Times New Roman" w:cs="Times New Roman"/>
          <w:sz w:val="24"/>
          <w:highlight w:val="none"/>
        </w:rPr>
      </w:pPr>
      <w:r>
        <w:rPr>
          <w:rFonts w:ascii="Times New Roman" w:hAnsi="Times New Roman" w:cs="Times New Roman"/>
          <w:sz w:val="24"/>
          <w:highlight w:val="none"/>
        </w:rPr>
        <w:t>(c) Confounder-adjusted CIC of CIBC across age groups in White patients with DCIS</w:t>
      </w:r>
      <w:r>
        <w:rPr>
          <w:rFonts w:hint="eastAsia" w:ascii="Times New Roman" w:hAnsi="Times New Roman" w:cs="Times New Roman"/>
          <w:sz w:val="24"/>
          <w:highlight w:val="none"/>
        </w:rPr>
        <w:t>.</w:t>
      </w:r>
    </w:p>
    <w:p w14:paraId="04CBC48B">
      <w:pPr>
        <w:spacing w:line="360" w:lineRule="auto"/>
        <w:rPr>
          <w:rFonts w:ascii="Times New Roman" w:hAnsi="Times New Roman" w:cs="Times New Roman"/>
          <w:sz w:val="24"/>
          <w:highlight w:val="none"/>
        </w:rPr>
      </w:pPr>
      <w:r>
        <w:rPr>
          <w:rFonts w:ascii="Times New Roman" w:hAnsi="Times New Roman" w:cs="Times New Roman"/>
          <w:sz w:val="24"/>
          <w:highlight w:val="none"/>
        </w:rPr>
        <w:t>(d) Confounder-adjusted CIC of CIBC stratified by micropapillary carcinoma status in White patients with DCIS</w:t>
      </w:r>
      <w:r>
        <w:rPr>
          <w:rFonts w:hint="eastAsia" w:ascii="Times New Roman" w:hAnsi="Times New Roman" w:cs="Times New Roman"/>
          <w:sz w:val="24"/>
          <w:highlight w:val="none"/>
        </w:rPr>
        <w:t>.</w:t>
      </w:r>
    </w:p>
    <w:p w14:paraId="43799FA3">
      <w:pPr>
        <w:spacing w:line="360" w:lineRule="auto"/>
        <w:rPr>
          <w:rFonts w:ascii="Times New Roman" w:hAnsi="Times New Roman" w:cs="Times New Roman"/>
          <w:szCs w:val="21"/>
          <w:highlight w:val="none"/>
        </w:rPr>
      </w:pPr>
      <w:r>
        <w:rPr>
          <w:rFonts w:ascii="Times New Roman" w:hAnsi="Times New Roman" w:cs="Times New Roman"/>
          <w:szCs w:val="21"/>
          <w:highlight w:val="none"/>
        </w:rPr>
        <w:t>Abbreviations: CIC, cumulative incidence curves; CIBC, contralateral invasive breast cancer; DCIS, ductal carcinoma in situ; PSH, proportional subdistribution hazard.</w:t>
      </w:r>
    </w:p>
    <w:p w14:paraId="45CC7348">
      <w:pPr>
        <w:rPr>
          <w:rFonts w:hint="default"/>
          <w:highlight w:val="none"/>
          <w:lang w:val="en-US" w:eastAsia="zh-CN"/>
        </w:rPr>
      </w:pPr>
    </w:p>
    <w:p w14:paraId="6104FC24">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 xml:space="preserve">Supplementary Figure </w:t>
      </w:r>
      <w:r>
        <w:rPr>
          <w:rFonts w:hint="eastAsia" w:ascii="Times New Roman" w:hAnsi="Times New Roman" w:cs="Times New Roman"/>
          <w:b/>
          <w:bCs/>
          <w:sz w:val="24"/>
          <w:highlight w:val="none"/>
        </w:rPr>
        <w:t>10</w:t>
      </w:r>
      <w:r>
        <w:rPr>
          <w:rFonts w:ascii="Times New Roman" w:hAnsi="Times New Roman" w:cs="Times New Roman"/>
          <w:b/>
          <w:bCs/>
          <w:sz w:val="24"/>
          <w:highlight w:val="none"/>
        </w:rPr>
        <w:t>. Time</w:t>
      </w:r>
      <w:r>
        <w:rPr>
          <w:rFonts w:ascii="Times New Roman" w:hAnsi="Times New Roman" w:cs="Times New Roman"/>
          <w:sz w:val="24"/>
          <w:highlight w:val="none"/>
        </w:rPr>
        <w:t>-</w:t>
      </w:r>
      <w:r>
        <w:rPr>
          <w:rFonts w:ascii="Times New Roman" w:hAnsi="Times New Roman" w:cs="Times New Roman"/>
          <w:b/>
          <w:bCs/>
          <w:sz w:val="24"/>
          <w:highlight w:val="none"/>
        </w:rPr>
        <w:t>varying effects of endocrine therapy on CIBC risk in patients with DCIS, overall and by race: 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49A042D5">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(a)(d)(g) CRCC for overall patients, White patients, and Black patients, respectively.</w:t>
      </w:r>
    </w:p>
    <w:p w14:paraId="2430BBFF">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(b)(e)(h) sHR(t) curves for overall patients, White patients, and Black patients, respectively.</w:t>
      </w:r>
    </w:p>
    <w:p w14:paraId="7CA8FE93">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(c)(f)(i) HR(t) curves for overall patients, White patients, and Black patients, respectively.</w:t>
      </w:r>
    </w:p>
    <w:p w14:paraId="7A3B3E8A">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CRCC, cumulative regression coefficient curves; sHR(t), subdistribution hazard ratios; HR(t), cause-specific hazard ratio; DCIS, ductal carcinoma in situ.</w:t>
      </w:r>
    </w:p>
    <w:p w14:paraId="26BD2409">
      <w:pPr>
        <w:rPr>
          <w:rFonts w:hint="default"/>
          <w:highlight w:val="none"/>
          <w:lang w:val="en-US" w:eastAsia="zh-CN"/>
        </w:rPr>
      </w:pPr>
    </w:p>
    <w:p w14:paraId="485732ED">
      <w:pPr>
        <w:rPr>
          <w:rFonts w:hint="default"/>
          <w:highlight w:val="none"/>
          <w:lang w:val="en-US" w:eastAsia="zh-CN"/>
        </w:rPr>
      </w:pPr>
    </w:p>
    <w:p w14:paraId="2190B5C9">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 xml:space="preserve">Supplementary Figure </w:t>
      </w:r>
      <w:r>
        <w:rPr>
          <w:rFonts w:hint="eastAsia" w:ascii="Times New Roman" w:hAnsi="Times New Roman" w:cs="Times New Roman"/>
          <w:b/>
          <w:bCs/>
          <w:sz w:val="24"/>
          <w:highlight w:val="none"/>
        </w:rPr>
        <w:t>11</w:t>
      </w:r>
      <w:r>
        <w:rPr>
          <w:rFonts w:ascii="Times New Roman" w:hAnsi="Times New Roman" w:cs="Times New Roman"/>
          <w:b/>
          <w:bCs/>
          <w:sz w:val="24"/>
          <w:highlight w:val="none"/>
        </w:rPr>
        <w:t>. Time</w:t>
      </w:r>
      <w:r>
        <w:rPr>
          <w:rFonts w:ascii="Times New Roman" w:hAnsi="Times New Roman" w:cs="Times New Roman"/>
          <w:sz w:val="24"/>
          <w:highlight w:val="none"/>
        </w:rPr>
        <w:t>-</w:t>
      </w:r>
      <w:r>
        <w:rPr>
          <w:rFonts w:ascii="Times New Roman" w:hAnsi="Times New Roman" w:cs="Times New Roman"/>
          <w:b/>
          <w:bCs/>
          <w:sz w:val="24"/>
          <w:highlight w:val="none"/>
        </w:rPr>
        <w:t>varying effects of additional risk factors violating the PSH assumption in patients with IDC: age 61</w:t>
      </w:r>
      <w:r>
        <w:rPr>
          <w:rFonts w:ascii="Times New Roman" w:hAnsi="Times New Roman" w:cs="Times New Roman"/>
          <w:sz w:val="24"/>
          <w:highlight w:val="none"/>
        </w:rPr>
        <w:t>-</w:t>
      </w:r>
      <w:r>
        <w:rPr>
          <w:rFonts w:ascii="Times New Roman" w:hAnsi="Times New Roman" w:cs="Times New Roman"/>
          <w:b/>
          <w:bCs/>
          <w:sz w:val="24"/>
          <w:highlight w:val="none"/>
        </w:rPr>
        <w:t>70</w:t>
      </w:r>
      <w:r>
        <w:rPr>
          <w:rFonts w:hint="eastAsia" w:ascii="Times New Roman" w:hAnsi="Times New Roman" w:cs="Times New Roman"/>
          <w:b/>
          <w:bCs/>
          <w:sz w:val="24"/>
          <w:highlight w:val="none"/>
          <w:lang w:val="en-US" w:eastAsia="zh-CN"/>
        </w:rPr>
        <w:t xml:space="preserve"> and </w:t>
      </w:r>
      <w:r>
        <w:rPr>
          <w:rFonts w:ascii="Times New Roman" w:hAnsi="Times New Roman" w:cs="Times New Roman"/>
          <w:b/>
          <w:bCs/>
          <w:sz w:val="24"/>
          <w:highlight w:val="none"/>
        </w:rPr>
        <w:t>N2</w:t>
      </w:r>
      <w:r>
        <w:rPr>
          <w:rFonts w:hint="eastAsia" w:ascii="Times New Roman" w:hAnsi="Times New Roman" w:cs="Times New Roman"/>
          <w:b/>
          <w:bCs/>
          <w:sz w:val="24"/>
          <w:highlight w:val="none"/>
          <w:lang w:val="en-US" w:eastAsia="zh-CN"/>
        </w:rPr>
        <w:t xml:space="preserve"> </w:t>
      </w:r>
      <w:r>
        <w:rPr>
          <w:rFonts w:ascii="Times New Roman" w:hAnsi="Times New Roman" w:cs="Times New Roman"/>
          <w:b/>
          <w:bCs/>
          <w:sz w:val="24"/>
          <w:highlight w:val="none"/>
        </w:rPr>
        <w:t>(CRCC, sHR(t), and HR(t)).</w:t>
      </w:r>
    </w:p>
    <w:p w14:paraId="6A18DEB6">
      <w:pPr>
        <w:widowControl/>
        <w:kinsoku w:val="0"/>
        <w:overflowPunct w:val="0"/>
        <w:spacing w:line="360" w:lineRule="auto"/>
        <w:jc w:val="left"/>
        <w:rPr>
          <w:rFonts w:ascii="Times New Roman" w:hAnsi="Times New Roman" w:cs="Times New Roman"/>
          <w:sz w:val="24"/>
        </w:rPr>
      </w:pPr>
      <w:r>
        <w:rPr>
          <w:rFonts w:ascii="Times New Roman" w:hAnsi="Times New Roman" w:cs="Times New Roman"/>
          <w:sz w:val="24"/>
        </w:rPr>
        <w:t>(a)(d) CRCC for age 61-70</w:t>
      </w:r>
      <w:r>
        <w:rPr>
          <w:rFonts w:hint="eastAsia" w:ascii="Times New Roman" w:hAnsi="Times New Roman" w:cs="Times New Roman"/>
          <w:sz w:val="24"/>
        </w:rPr>
        <w:t xml:space="preserve"> and </w:t>
      </w:r>
      <w:r>
        <w:rPr>
          <w:rFonts w:ascii="Times New Roman" w:hAnsi="Times New Roman" w:cs="Times New Roman"/>
          <w:sz w:val="24"/>
        </w:rPr>
        <w:t>N2.</w:t>
      </w:r>
    </w:p>
    <w:p w14:paraId="39875625">
      <w:pPr>
        <w:widowControl/>
        <w:kinsoku w:val="0"/>
        <w:overflowPunct w:val="0"/>
        <w:spacing w:line="360" w:lineRule="auto"/>
        <w:jc w:val="left"/>
        <w:rPr>
          <w:rFonts w:ascii="Times New Roman" w:hAnsi="Times New Roman" w:cs="Times New Roman"/>
          <w:sz w:val="24"/>
        </w:rPr>
      </w:pPr>
      <w:r>
        <w:rPr>
          <w:rFonts w:ascii="Times New Roman" w:hAnsi="Times New Roman" w:cs="Times New Roman"/>
          <w:sz w:val="24"/>
        </w:rPr>
        <w:t>(b)(e) sHR(t) curves for age 61-70</w:t>
      </w:r>
      <w:r>
        <w:rPr>
          <w:rFonts w:hint="eastAsia" w:ascii="Times New Roman" w:hAnsi="Times New Roman" w:cs="Times New Roman"/>
          <w:sz w:val="24"/>
        </w:rPr>
        <w:t xml:space="preserve"> and </w:t>
      </w:r>
      <w:r>
        <w:rPr>
          <w:rFonts w:ascii="Times New Roman" w:hAnsi="Times New Roman" w:cs="Times New Roman"/>
          <w:sz w:val="24"/>
        </w:rPr>
        <w:t>N2.</w:t>
      </w:r>
    </w:p>
    <w:p w14:paraId="3A0C3C52">
      <w:pPr>
        <w:widowControl/>
        <w:kinsoku w:val="0"/>
        <w:overflowPunct w:val="0"/>
        <w:spacing w:line="360" w:lineRule="auto"/>
        <w:jc w:val="left"/>
        <w:rPr>
          <w:rFonts w:ascii="Times New Roman" w:hAnsi="Times New Roman" w:cs="Times New Roman"/>
          <w:sz w:val="24"/>
        </w:rPr>
      </w:pPr>
      <w:r>
        <w:rPr>
          <w:rFonts w:ascii="Times New Roman" w:hAnsi="Times New Roman" w:cs="Times New Roman"/>
          <w:sz w:val="24"/>
        </w:rPr>
        <w:t>(c)(f) HR(t) curves for age 61-70</w:t>
      </w:r>
      <w:r>
        <w:rPr>
          <w:rFonts w:hint="eastAsia" w:ascii="Times New Roman" w:hAnsi="Times New Roman" w:cs="Times New Roman"/>
          <w:sz w:val="24"/>
        </w:rPr>
        <w:t xml:space="preserve"> and </w:t>
      </w:r>
      <w:r>
        <w:rPr>
          <w:rFonts w:ascii="Times New Roman" w:hAnsi="Times New Roman" w:cs="Times New Roman"/>
          <w:sz w:val="24"/>
        </w:rPr>
        <w:t>N2.</w:t>
      </w:r>
    </w:p>
    <w:p w14:paraId="70E1DE4C">
      <w:pPr>
        <w:spacing w:line="360" w:lineRule="auto"/>
        <w:jc w:val="left"/>
        <w:rPr>
          <w:rFonts w:ascii="Times New Roman" w:hAnsi="Times New Roman" w:cs="Times New Roman"/>
          <w:szCs w:val="21"/>
          <w:highlight w:val="none"/>
        </w:rPr>
      </w:pPr>
      <w:bookmarkStart w:id="0" w:name="_GoBack"/>
      <w:bookmarkEnd w:id="0"/>
      <w:r>
        <w:rPr>
          <w:rFonts w:ascii="Times New Roman" w:hAnsi="Times New Roman" w:cs="Times New Roman"/>
          <w:szCs w:val="21"/>
          <w:highlight w:val="none"/>
        </w:rPr>
        <w:t>Abbreviations: CRCC, cumulative regression coefficient curves; sHR(t), subdistribution hazard ratio; HR(t), cause-specific hazard ratio; N2, lymph node metastasis stage N2; IDC, invasive ductal carcinoma; PSH, proportional subdistribution hazard.</w:t>
      </w:r>
    </w:p>
    <w:p w14:paraId="7F1B09D0">
      <w:pPr>
        <w:rPr>
          <w:rFonts w:hint="default"/>
          <w:highlight w:val="none"/>
          <w:lang w:val="en-US" w:eastAsia="zh-CN"/>
        </w:rPr>
      </w:pPr>
    </w:p>
    <w:p w14:paraId="12352067">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 xml:space="preserve">Supplementary Figure </w:t>
      </w:r>
      <w:r>
        <w:rPr>
          <w:rFonts w:hint="eastAsia" w:ascii="Times New Roman" w:hAnsi="Times New Roman" w:cs="Times New Roman"/>
          <w:b/>
          <w:bCs/>
          <w:sz w:val="24"/>
          <w:highlight w:val="none"/>
        </w:rPr>
        <w:t>12</w:t>
      </w:r>
      <w:r>
        <w:rPr>
          <w:rFonts w:ascii="Times New Roman" w:hAnsi="Times New Roman" w:cs="Times New Roman"/>
          <w:b/>
          <w:bCs/>
          <w:sz w:val="24"/>
          <w:highlight w:val="none"/>
        </w:rPr>
        <w:t>. Mortality HR(t) curves for additional risk factors violating the PSH assumption in patients with IDC: age 61</w:t>
      </w:r>
      <w:r>
        <w:rPr>
          <w:rFonts w:ascii="Times New Roman" w:hAnsi="Times New Roman" w:cs="Times New Roman"/>
          <w:sz w:val="24"/>
          <w:highlight w:val="none"/>
        </w:rPr>
        <w:t>-</w:t>
      </w:r>
      <w:r>
        <w:rPr>
          <w:rFonts w:ascii="Times New Roman" w:hAnsi="Times New Roman" w:cs="Times New Roman"/>
          <w:b/>
          <w:bCs/>
          <w:sz w:val="24"/>
          <w:highlight w:val="none"/>
        </w:rPr>
        <w:t>70</w:t>
      </w:r>
      <w:r>
        <w:rPr>
          <w:rFonts w:hint="eastAsia" w:ascii="Times New Roman" w:hAnsi="Times New Roman" w:cs="Times New Roman"/>
          <w:b/>
          <w:bCs/>
          <w:sz w:val="24"/>
          <w:highlight w:val="none"/>
          <w:lang w:val="en-US" w:eastAsia="zh-CN"/>
        </w:rPr>
        <w:t xml:space="preserve"> and </w:t>
      </w:r>
      <w:r>
        <w:rPr>
          <w:rFonts w:ascii="Times New Roman" w:hAnsi="Times New Roman" w:cs="Times New Roman"/>
          <w:b/>
          <w:bCs/>
          <w:sz w:val="24"/>
          <w:highlight w:val="none"/>
        </w:rPr>
        <w:t>N2.</w:t>
      </w:r>
    </w:p>
    <w:p w14:paraId="0512B423">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 Mortality HR(t) curves</w:t>
      </w:r>
      <w:r>
        <w:rPr>
          <w:rFonts w:hint="eastAsia" w:ascii="Times New Roman" w:hAnsi="Times New Roman" w:cs="Times New Roman"/>
          <w:sz w:val="24"/>
          <w:highlight w:val="none"/>
        </w:rPr>
        <w:t xml:space="preserve"> </w:t>
      </w:r>
      <w:r>
        <w:rPr>
          <w:rFonts w:ascii="Times New Roman" w:hAnsi="Times New Roman" w:cs="Times New Roman"/>
          <w:sz w:val="24"/>
          <w:highlight w:val="none"/>
        </w:rPr>
        <w:t xml:space="preserve">for age 61-70. </w:t>
      </w:r>
    </w:p>
    <w:p w14:paraId="39955D3C">
      <w:pPr>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 Mortality HR(t) curves</w:t>
      </w:r>
      <w:r>
        <w:rPr>
          <w:rFonts w:hint="eastAsia" w:ascii="Times New Roman" w:hAnsi="Times New Roman" w:cs="Times New Roman"/>
          <w:sz w:val="24"/>
          <w:highlight w:val="none"/>
        </w:rPr>
        <w:t xml:space="preserve"> </w:t>
      </w:r>
      <w:r>
        <w:rPr>
          <w:rFonts w:ascii="Times New Roman" w:hAnsi="Times New Roman" w:cs="Times New Roman"/>
          <w:sz w:val="24"/>
          <w:highlight w:val="none"/>
        </w:rPr>
        <w:t xml:space="preserve">for N2. </w:t>
      </w:r>
    </w:p>
    <w:p w14:paraId="0E214812">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HR(t), cause-specific hazard ratio; N2, lymph node metastasis stage N2; IDC, invasive ductal carcinoma; PSH, proportional subdistribution hazard.</w:t>
      </w:r>
    </w:p>
    <w:p w14:paraId="4033FD75">
      <w:pPr>
        <w:rPr>
          <w:rFonts w:hint="default"/>
          <w:highlight w:val="none"/>
          <w:lang w:val="en-US" w:eastAsia="zh-CN"/>
        </w:rPr>
      </w:pPr>
    </w:p>
    <w:p w14:paraId="5290DA7F">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1</w:t>
      </w:r>
      <w:r>
        <w:rPr>
          <w:rFonts w:hint="eastAsia" w:ascii="Times New Roman" w:hAnsi="Times New Roman" w:cs="Times New Roman"/>
          <w:b/>
          <w:bCs/>
          <w:sz w:val="24"/>
          <w:highlight w:val="none"/>
        </w:rPr>
        <w:t>3</w:t>
      </w:r>
      <w:r>
        <w:rPr>
          <w:rFonts w:ascii="Times New Roman" w:hAnsi="Times New Roman" w:cs="Times New Roman"/>
          <w:b/>
          <w:bCs/>
          <w:sz w:val="24"/>
          <w:highlight w:val="none"/>
        </w:rPr>
        <w:t>. Time</w:t>
      </w:r>
      <w:r>
        <w:rPr>
          <w:rFonts w:ascii="Times New Roman" w:hAnsi="Times New Roman" w:cs="Times New Roman"/>
          <w:sz w:val="24"/>
          <w:highlight w:val="none"/>
        </w:rPr>
        <w:t>-</w:t>
      </w:r>
      <w:r>
        <w:rPr>
          <w:rFonts w:ascii="Times New Roman" w:hAnsi="Times New Roman" w:cs="Times New Roman"/>
          <w:b/>
          <w:bCs/>
          <w:sz w:val="24"/>
          <w:highlight w:val="none"/>
        </w:rPr>
        <w:t>varying effects of selected risk factors violating the PSH assumption in White patients with IDC: age ≥71, N3, and tumors &gt;5 cm (CRCC,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73C34D92">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(a)(d)(g) CRCC for age ≥71, N3, and tumors &gt;5 cm, respectively.</w:t>
      </w:r>
    </w:p>
    <w:p w14:paraId="2683D18D">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(b)(e)(h) sHR(t) curves for age ≥71, N3, and tumors &gt;5 cm, respectively.</w:t>
      </w:r>
    </w:p>
    <w:p w14:paraId="2A0ADD46">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(c)(f)(i) HR(t) curves for age ≥71, N3, and tumors &gt;5 cm, respectively.</w:t>
      </w:r>
    </w:p>
    <w:p w14:paraId="7DD7921B">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CRCC, cumulative regression coefficient curves; sHR(t), subdistribution hazard ratio; HR(t), cause-specific hazard ratio; N3, lymph node metastasis stage N3; IDC, invasive ductal carcinoma; PSH, proportional subdistribution hazard.</w:t>
      </w:r>
    </w:p>
    <w:p w14:paraId="16783454">
      <w:pPr>
        <w:rPr>
          <w:rFonts w:hint="default"/>
          <w:highlight w:val="none"/>
          <w:lang w:val="en-US" w:eastAsia="zh-CN"/>
        </w:rPr>
      </w:pPr>
    </w:p>
    <w:p w14:paraId="59719DE0">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1</w:t>
      </w:r>
      <w:r>
        <w:rPr>
          <w:rFonts w:hint="eastAsia" w:ascii="Times New Roman" w:hAnsi="Times New Roman" w:cs="Times New Roman"/>
          <w:b/>
          <w:bCs/>
          <w:sz w:val="24"/>
          <w:highlight w:val="none"/>
        </w:rPr>
        <w:t>4</w:t>
      </w:r>
      <w:r>
        <w:rPr>
          <w:rFonts w:ascii="Times New Roman" w:hAnsi="Times New Roman" w:cs="Times New Roman"/>
          <w:b/>
          <w:bCs/>
          <w:sz w:val="24"/>
          <w:highlight w:val="none"/>
        </w:rPr>
        <w:t>. Time</w:t>
      </w:r>
      <w:r>
        <w:rPr>
          <w:rFonts w:ascii="Times New Roman" w:hAnsi="Times New Roman" w:cs="Times New Roman"/>
          <w:sz w:val="24"/>
          <w:highlight w:val="none"/>
        </w:rPr>
        <w:t>-</w:t>
      </w:r>
      <w:r>
        <w:rPr>
          <w:rFonts w:ascii="Times New Roman" w:hAnsi="Times New Roman" w:cs="Times New Roman"/>
          <w:b/>
          <w:bCs/>
          <w:sz w:val="24"/>
          <w:highlight w:val="none"/>
        </w:rPr>
        <w:t>varying effects of additional risk factors violating the PSH assumption in White patients with IDC: age 61</w:t>
      </w:r>
      <w:r>
        <w:rPr>
          <w:rFonts w:ascii="Times New Roman" w:hAnsi="Times New Roman" w:cs="Times New Roman"/>
          <w:sz w:val="24"/>
          <w:highlight w:val="none"/>
        </w:rPr>
        <w:t>-</w:t>
      </w:r>
      <w:r>
        <w:rPr>
          <w:rFonts w:ascii="Times New Roman" w:hAnsi="Times New Roman" w:cs="Times New Roman"/>
          <w:b/>
          <w:bCs/>
          <w:sz w:val="24"/>
          <w:highlight w:val="none"/>
        </w:rPr>
        <w:t>70</w:t>
      </w:r>
      <w:r>
        <w:rPr>
          <w:rFonts w:hint="eastAsia" w:ascii="Times New Roman" w:hAnsi="Times New Roman" w:cs="Times New Roman"/>
          <w:b/>
          <w:bCs/>
          <w:sz w:val="24"/>
          <w:highlight w:val="none"/>
          <w:lang w:val="en-US" w:eastAsia="zh-CN"/>
        </w:rPr>
        <w:t xml:space="preserve"> and </w:t>
      </w:r>
      <w:r>
        <w:rPr>
          <w:rFonts w:ascii="Times New Roman" w:hAnsi="Times New Roman" w:cs="Times New Roman"/>
          <w:b/>
          <w:bCs/>
          <w:sz w:val="24"/>
          <w:highlight w:val="none"/>
        </w:rPr>
        <w:t>N2</w:t>
      </w:r>
      <w:r>
        <w:rPr>
          <w:rFonts w:hint="eastAsia" w:ascii="Times New Roman" w:hAnsi="Times New Roman" w:cs="Times New Roman"/>
          <w:b/>
          <w:bCs/>
          <w:sz w:val="24"/>
          <w:highlight w:val="none"/>
          <w:lang w:val="en-US" w:eastAsia="zh-CN"/>
        </w:rPr>
        <w:t xml:space="preserve"> </w:t>
      </w:r>
      <w:r>
        <w:rPr>
          <w:rFonts w:ascii="Times New Roman" w:hAnsi="Times New Roman" w:cs="Times New Roman"/>
          <w:b/>
          <w:bCs/>
          <w:sz w:val="24"/>
          <w:highlight w:val="none"/>
        </w:rPr>
        <w:t>(CRCC,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2623EE7F">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 CRCC for age 61-70</w:t>
      </w:r>
      <w:r>
        <w:rPr>
          <w:rFonts w:hint="eastAsia" w:ascii="Times New Roman" w:hAnsi="Times New Roman" w:cs="Times New Roman"/>
          <w:sz w:val="24"/>
          <w:highlight w:val="none"/>
          <w:lang w:val="en-US" w:eastAsia="zh-CN"/>
        </w:rPr>
        <w:t xml:space="preserve"> and </w:t>
      </w:r>
      <w:r>
        <w:rPr>
          <w:rFonts w:ascii="Times New Roman" w:hAnsi="Times New Roman" w:cs="Times New Roman"/>
          <w:sz w:val="24"/>
          <w:highlight w:val="none"/>
        </w:rPr>
        <w:t>N2.</w:t>
      </w:r>
    </w:p>
    <w:p w14:paraId="4B81532E">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 sHR(t) curves for age 61-70</w:t>
      </w:r>
      <w:r>
        <w:rPr>
          <w:rFonts w:hint="eastAsia" w:ascii="Times New Roman" w:hAnsi="Times New Roman" w:cs="Times New Roman"/>
          <w:sz w:val="24"/>
          <w:highlight w:val="none"/>
          <w:lang w:val="en-US" w:eastAsia="zh-CN"/>
        </w:rPr>
        <w:t xml:space="preserve"> and </w:t>
      </w:r>
      <w:r>
        <w:rPr>
          <w:rFonts w:ascii="Times New Roman" w:hAnsi="Times New Roman" w:cs="Times New Roman"/>
          <w:sz w:val="24"/>
          <w:highlight w:val="none"/>
        </w:rPr>
        <w:t>N2.</w:t>
      </w:r>
    </w:p>
    <w:p w14:paraId="3B60EBC5">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 HR(t) curves for age 61-70</w:t>
      </w:r>
      <w:r>
        <w:rPr>
          <w:rFonts w:hint="eastAsia" w:ascii="Times New Roman" w:hAnsi="Times New Roman" w:cs="Times New Roman"/>
          <w:sz w:val="24"/>
          <w:highlight w:val="none"/>
          <w:lang w:val="en-US" w:eastAsia="zh-CN"/>
        </w:rPr>
        <w:t xml:space="preserve"> and </w:t>
      </w:r>
      <w:r>
        <w:rPr>
          <w:rFonts w:ascii="Times New Roman" w:hAnsi="Times New Roman" w:cs="Times New Roman"/>
          <w:sz w:val="24"/>
          <w:highlight w:val="none"/>
        </w:rPr>
        <w:t>N2.</w:t>
      </w:r>
    </w:p>
    <w:p w14:paraId="1041B92A">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CRCC, cumulative regression coefficient curves; sHR(t), subdistribution hazard ratio; HR(t), cause-specific hazard ratio; N2, lymph node metastasis stage N2; IDC, invasive ductal carcinoma; PSH, proportional subdistribution hazard.</w:t>
      </w:r>
    </w:p>
    <w:p w14:paraId="57FB1787">
      <w:pPr>
        <w:rPr>
          <w:rFonts w:hint="default"/>
          <w:highlight w:val="none"/>
          <w:lang w:val="en-US" w:eastAsia="zh-CN"/>
        </w:rPr>
      </w:pPr>
    </w:p>
    <w:p w14:paraId="185F4947">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1</w:t>
      </w:r>
      <w:r>
        <w:rPr>
          <w:rFonts w:hint="eastAsia" w:ascii="Times New Roman" w:hAnsi="Times New Roman" w:cs="Times New Roman"/>
          <w:b/>
          <w:bCs/>
          <w:sz w:val="24"/>
          <w:highlight w:val="none"/>
        </w:rPr>
        <w:t>5</w:t>
      </w:r>
      <w:r>
        <w:rPr>
          <w:rFonts w:ascii="Times New Roman" w:hAnsi="Times New Roman" w:cs="Times New Roman"/>
          <w:b/>
          <w:bCs/>
          <w:sz w:val="24"/>
          <w:highlight w:val="none"/>
        </w:rPr>
        <w:t>. Time-varying effects of selected risk factors violating the PSH assumption in Black patients with IDC: age ≥71, N3, and tumors &gt;5 cm (CRCC,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6D11456F">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(a)(d)(g) CRCC for age ≥71, N3, and tumors &gt;5 cm, respectively.</w:t>
      </w:r>
    </w:p>
    <w:p w14:paraId="4AA1B5C6">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(b)(e)(h) sHR(t) curves for age ≥71, N3, and tumors &gt;5 cm, respectively.</w:t>
      </w:r>
    </w:p>
    <w:p w14:paraId="38C74FE9">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(c)(f)(i) HR(t) curves for age ≥71, N3, and tumors &gt;5 cm, respectively.</w:t>
      </w:r>
    </w:p>
    <w:p w14:paraId="51517576">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CRCC, cumulative regression coefficient curves; sHR(t), subdistribution hazard ratio; HR(t), cause-specific hazard ratio; N3, lymph node metastasis stage N3; IDC, invasive ductal carcinoma; PSH, proportional subdistribution hazard.</w:t>
      </w:r>
    </w:p>
    <w:p w14:paraId="3BE48F95">
      <w:pPr>
        <w:rPr>
          <w:rFonts w:hint="default"/>
          <w:highlight w:val="none"/>
          <w:lang w:val="en-US" w:eastAsia="zh-CN"/>
        </w:rPr>
      </w:pPr>
    </w:p>
    <w:p w14:paraId="0E85C0A4">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Supplementary Figure 1</w:t>
      </w:r>
      <w:r>
        <w:rPr>
          <w:rFonts w:hint="eastAsia" w:ascii="Times New Roman" w:hAnsi="Times New Roman" w:cs="Times New Roman"/>
          <w:b/>
          <w:bCs/>
          <w:sz w:val="24"/>
          <w:highlight w:val="none"/>
        </w:rPr>
        <w:t>6</w:t>
      </w:r>
      <w:r>
        <w:rPr>
          <w:rFonts w:ascii="Times New Roman" w:hAnsi="Times New Roman" w:cs="Times New Roman"/>
          <w:b/>
          <w:bCs/>
          <w:sz w:val="24"/>
          <w:highlight w:val="none"/>
        </w:rPr>
        <w:t>. Time</w:t>
      </w:r>
      <w:r>
        <w:rPr>
          <w:rFonts w:ascii="Times New Roman" w:hAnsi="Times New Roman" w:cs="Times New Roman"/>
          <w:sz w:val="24"/>
          <w:highlight w:val="none"/>
        </w:rPr>
        <w:t>-</w:t>
      </w:r>
      <w:r>
        <w:rPr>
          <w:rFonts w:ascii="Times New Roman" w:hAnsi="Times New Roman" w:cs="Times New Roman"/>
          <w:b/>
          <w:bCs/>
          <w:sz w:val="24"/>
          <w:highlight w:val="none"/>
        </w:rPr>
        <w:t>varying effects of additional risk factors violating the PSH assumption in Black patients with IDC: age 61</w:t>
      </w:r>
      <w:r>
        <w:rPr>
          <w:rFonts w:ascii="Times New Roman" w:hAnsi="Times New Roman" w:cs="Times New Roman"/>
          <w:sz w:val="24"/>
          <w:highlight w:val="none"/>
        </w:rPr>
        <w:t>-</w:t>
      </w:r>
      <w:r>
        <w:rPr>
          <w:rFonts w:ascii="Times New Roman" w:hAnsi="Times New Roman" w:cs="Times New Roman"/>
          <w:b/>
          <w:bCs/>
          <w:sz w:val="24"/>
          <w:highlight w:val="none"/>
        </w:rPr>
        <w:t>70</w:t>
      </w:r>
      <w:r>
        <w:rPr>
          <w:rFonts w:hint="eastAsia" w:ascii="Times New Roman" w:hAnsi="Times New Roman" w:cs="Times New Roman"/>
          <w:b/>
          <w:bCs/>
          <w:sz w:val="24"/>
          <w:highlight w:val="none"/>
          <w:lang w:val="en-US" w:eastAsia="zh-CN"/>
        </w:rPr>
        <w:t xml:space="preserve"> and </w:t>
      </w:r>
      <w:r>
        <w:rPr>
          <w:rFonts w:ascii="Times New Roman" w:hAnsi="Times New Roman" w:cs="Times New Roman"/>
          <w:b/>
          <w:bCs/>
          <w:sz w:val="24"/>
          <w:highlight w:val="none"/>
        </w:rPr>
        <w:t>N2</w:t>
      </w:r>
      <w:r>
        <w:rPr>
          <w:rFonts w:hint="eastAsia" w:ascii="Times New Roman" w:hAnsi="Times New Roman" w:cs="Times New Roman"/>
          <w:b/>
          <w:bCs/>
          <w:sz w:val="24"/>
          <w:highlight w:val="none"/>
          <w:lang w:val="en-US" w:eastAsia="zh-CN"/>
        </w:rPr>
        <w:t xml:space="preserve"> </w:t>
      </w:r>
      <w:r>
        <w:rPr>
          <w:rFonts w:ascii="Times New Roman" w:hAnsi="Times New Roman" w:cs="Times New Roman"/>
          <w:b/>
          <w:bCs/>
          <w:sz w:val="24"/>
          <w:highlight w:val="none"/>
        </w:rPr>
        <w:t>(CRCC, sHR(t), and HR(t)</w:t>
      </w:r>
      <w:r>
        <w:rPr>
          <w:rFonts w:hint="eastAsia" w:ascii="Times New Roman" w:hAnsi="Times New Roman" w:cs="Times New Roman"/>
          <w:b/>
          <w:bCs/>
          <w:sz w:val="24"/>
          <w:highlight w:val="none"/>
        </w:rPr>
        <w:t xml:space="preserve"> </w:t>
      </w:r>
      <w:r>
        <w:rPr>
          <w:rFonts w:ascii="Times New Roman" w:hAnsi="Times New Roman" w:cs="Times New Roman"/>
          <w:b/>
          <w:bCs/>
          <w:sz w:val="24"/>
          <w:highlight w:val="none"/>
        </w:rPr>
        <w:t>curves).</w:t>
      </w:r>
    </w:p>
    <w:p w14:paraId="0444FB8D">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(a)(d) CRCC for age 61-70</w:t>
      </w:r>
      <w:r>
        <w:rPr>
          <w:rFonts w:hint="eastAsia" w:ascii="Times New Roman" w:hAnsi="Times New Roman" w:cs="Times New Roman"/>
          <w:sz w:val="24"/>
          <w:highlight w:val="none"/>
          <w:lang w:val="en-US" w:eastAsia="zh-CN"/>
        </w:rPr>
        <w:t xml:space="preserve"> and </w:t>
      </w:r>
      <w:r>
        <w:rPr>
          <w:rFonts w:ascii="Times New Roman" w:hAnsi="Times New Roman" w:cs="Times New Roman"/>
          <w:sz w:val="24"/>
          <w:highlight w:val="none"/>
        </w:rPr>
        <w:t>N2.</w:t>
      </w:r>
    </w:p>
    <w:p w14:paraId="657307F8">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(b)(e) sHR(t) curves for age 61-70</w:t>
      </w:r>
      <w:r>
        <w:rPr>
          <w:rFonts w:hint="eastAsia" w:ascii="Times New Roman" w:hAnsi="Times New Roman" w:cs="Times New Roman"/>
          <w:sz w:val="24"/>
          <w:highlight w:val="none"/>
          <w:lang w:val="en-US" w:eastAsia="zh-CN"/>
        </w:rPr>
        <w:t xml:space="preserve"> and </w:t>
      </w:r>
      <w:r>
        <w:rPr>
          <w:rFonts w:ascii="Times New Roman" w:hAnsi="Times New Roman" w:cs="Times New Roman"/>
          <w:sz w:val="24"/>
          <w:highlight w:val="none"/>
        </w:rPr>
        <w:t>N2.</w:t>
      </w:r>
    </w:p>
    <w:p w14:paraId="09059455">
      <w:pPr>
        <w:widowControl/>
        <w:kinsoku w:val="0"/>
        <w:overflowPunct w:val="0"/>
        <w:spacing w:line="360" w:lineRule="auto"/>
        <w:jc w:val="left"/>
        <w:rPr>
          <w:rFonts w:ascii="Times New Roman" w:hAnsi="Times New Roman" w:cs="Times New Roman"/>
          <w:sz w:val="24"/>
          <w:highlight w:val="none"/>
        </w:rPr>
      </w:pPr>
      <w:r>
        <w:rPr>
          <w:rFonts w:ascii="Times New Roman" w:hAnsi="Times New Roman" w:cs="Times New Roman"/>
          <w:sz w:val="24"/>
          <w:highlight w:val="none"/>
        </w:rPr>
        <w:t>(c)(f) HR(t) curves for age 61-70</w:t>
      </w:r>
      <w:r>
        <w:rPr>
          <w:rFonts w:hint="eastAsia" w:ascii="Times New Roman" w:hAnsi="Times New Roman" w:cs="Times New Roman"/>
          <w:sz w:val="24"/>
          <w:highlight w:val="none"/>
          <w:lang w:val="en-US" w:eastAsia="zh-CN"/>
        </w:rPr>
        <w:t xml:space="preserve"> and </w:t>
      </w:r>
      <w:r>
        <w:rPr>
          <w:rFonts w:ascii="Times New Roman" w:hAnsi="Times New Roman" w:cs="Times New Roman"/>
          <w:sz w:val="24"/>
          <w:highlight w:val="none"/>
        </w:rPr>
        <w:t>N2.</w:t>
      </w:r>
    </w:p>
    <w:p w14:paraId="36182F2F">
      <w:pPr>
        <w:spacing w:line="360" w:lineRule="auto"/>
        <w:jc w:val="left"/>
        <w:rPr>
          <w:rFonts w:ascii="Times New Roman" w:hAnsi="Times New Roman" w:cs="Times New Roman"/>
          <w:szCs w:val="21"/>
          <w:highlight w:val="none"/>
        </w:rPr>
      </w:pPr>
      <w:r>
        <w:rPr>
          <w:rFonts w:ascii="Times New Roman" w:hAnsi="Times New Roman" w:cs="Times New Roman"/>
          <w:szCs w:val="21"/>
          <w:highlight w:val="none"/>
        </w:rPr>
        <w:t>Abbreviations: CRCC, cumulative regression coefficient curves; sHR(t), subdistribution hazard ratio; HR(t), cause-specific hazard ratio; N2, lymph node metastasis stage N2; IDC, invasive ductal carcinoma; PSH, proportional subdistribution hazard.</w:t>
      </w:r>
    </w:p>
    <w:p w14:paraId="7288F8BF">
      <w:pPr>
        <w:spacing w:line="360" w:lineRule="auto"/>
        <w:rPr>
          <w:rFonts w:ascii="Times New Roman" w:hAnsi="Times New Roman" w:cs="Times New Roman"/>
          <w:b/>
          <w:bCs/>
          <w:sz w:val="24"/>
          <w:highlight w:val="none"/>
        </w:rPr>
      </w:pPr>
    </w:p>
    <w:p w14:paraId="5AD103FC">
      <w:pPr>
        <w:spacing w:line="360" w:lineRule="auto"/>
        <w:rPr>
          <w:rFonts w:ascii="Times New Roman" w:hAnsi="Times New Roman" w:cs="Times New Roman"/>
          <w:b/>
          <w:bCs/>
          <w:sz w:val="24"/>
          <w:highlight w:val="none"/>
        </w:rPr>
      </w:pPr>
      <w:r>
        <w:rPr>
          <w:rFonts w:ascii="Times New Roman" w:hAnsi="Times New Roman" w:cs="Times New Roman"/>
          <w:b/>
          <w:bCs/>
          <w:sz w:val="24"/>
          <w:highlight w:val="none"/>
        </w:rPr>
        <w:t xml:space="preserve">Supplementary Figure </w:t>
      </w:r>
      <w:r>
        <w:rPr>
          <w:rFonts w:hint="eastAsia" w:ascii="Times New Roman" w:hAnsi="Times New Roman" w:cs="Times New Roman"/>
          <w:b/>
          <w:bCs/>
          <w:sz w:val="24"/>
          <w:highlight w:val="none"/>
        </w:rPr>
        <w:t>17</w:t>
      </w:r>
      <w:r>
        <w:rPr>
          <w:rFonts w:ascii="Times New Roman" w:hAnsi="Times New Roman" w:cs="Times New Roman"/>
          <w:b/>
          <w:bCs/>
          <w:sz w:val="24"/>
          <w:highlight w:val="none"/>
        </w:rPr>
        <w:t>. CIC of death stratified by risk factors with violated PSH assumption in Black and White patients with IDC.</w:t>
      </w:r>
    </w:p>
    <w:p w14:paraId="54FCBB63">
      <w:pPr>
        <w:spacing w:line="360" w:lineRule="auto"/>
        <w:rPr>
          <w:rFonts w:ascii="Times New Roman" w:hAnsi="Times New Roman" w:cs="Times New Roman"/>
          <w:sz w:val="24"/>
          <w:highlight w:val="none"/>
        </w:rPr>
      </w:pPr>
      <w:r>
        <w:rPr>
          <w:rFonts w:ascii="Times New Roman" w:hAnsi="Times New Roman" w:cs="Times New Roman"/>
          <w:sz w:val="24"/>
          <w:highlight w:val="none"/>
        </w:rPr>
        <w:t>(a) CIC of death stratified by age groups 61</w:t>
      </w:r>
      <w:r>
        <w:rPr>
          <w:rFonts w:hint="eastAsia" w:ascii="Times New Roman" w:hAnsi="Times New Roman" w:cs="Times New Roman"/>
          <w:b/>
          <w:bCs/>
          <w:sz w:val="24"/>
          <w:highlight w:val="none"/>
        </w:rPr>
        <w:t>-</w:t>
      </w:r>
      <w:r>
        <w:rPr>
          <w:rFonts w:ascii="Times New Roman" w:hAnsi="Times New Roman" w:cs="Times New Roman"/>
          <w:sz w:val="24"/>
          <w:highlight w:val="none"/>
        </w:rPr>
        <w:t>70 and ≥71 years.</w:t>
      </w:r>
    </w:p>
    <w:p w14:paraId="7EAD9D87">
      <w:pPr>
        <w:spacing w:line="360" w:lineRule="auto"/>
        <w:rPr>
          <w:rFonts w:ascii="Times New Roman" w:hAnsi="Times New Roman" w:cs="Times New Roman"/>
          <w:sz w:val="24"/>
          <w:highlight w:val="none"/>
        </w:rPr>
      </w:pPr>
      <w:r>
        <w:rPr>
          <w:rFonts w:ascii="Times New Roman" w:hAnsi="Times New Roman" w:cs="Times New Roman"/>
          <w:sz w:val="24"/>
          <w:highlight w:val="none"/>
        </w:rPr>
        <w:t>(b) CIC of death stratified by N2 and N3 lymph node metastasis status.</w:t>
      </w:r>
    </w:p>
    <w:p w14:paraId="658138B4">
      <w:pPr>
        <w:spacing w:line="360" w:lineRule="auto"/>
        <w:rPr>
          <w:rFonts w:ascii="Times New Roman" w:hAnsi="Times New Roman" w:cs="Times New Roman"/>
          <w:sz w:val="24"/>
          <w:highlight w:val="none"/>
        </w:rPr>
      </w:pPr>
      <w:r>
        <w:rPr>
          <w:rFonts w:ascii="Times New Roman" w:hAnsi="Times New Roman" w:cs="Times New Roman"/>
          <w:sz w:val="24"/>
          <w:highlight w:val="none"/>
        </w:rPr>
        <w:t>(c) CIC of death stratified by tumor size &gt;5 cm.</w:t>
      </w:r>
    </w:p>
    <w:p w14:paraId="475DD20C">
      <w:pPr>
        <w:spacing w:line="360" w:lineRule="auto"/>
        <w:rPr>
          <w:rFonts w:ascii="Times New Roman" w:hAnsi="Times New Roman" w:cs="Times New Roman"/>
          <w:szCs w:val="21"/>
          <w:highlight w:val="none"/>
        </w:rPr>
      </w:pPr>
      <w:r>
        <w:rPr>
          <w:rFonts w:ascii="Times New Roman" w:hAnsi="Times New Roman" w:cs="Times New Roman"/>
          <w:szCs w:val="21"/>
          <w:highlight w:val="none"/>
        </w:rPr>
        <w:t>Abbreviations: CIC, cumulative incidence curves;</w:t>
      </w:r>
      <w:r>
        <w:rPr>
          <w:rFonts w:hint="eastAsia" w:ascii="Times New Roman" w:hAnsi="Times New Roman" w:cs="Times New Roman"/>
          <w:szCs w:val="21"/>
          <w:highlight w:val="none"/>
        </w:rPr>
        <w:t xml:space="preserve"> </w:t>
      </w:r>
      <w:r>
        <w:rPr>
          <w:rFonts w:ascii="Times New Roman" w:hAnsi="Times New Roman" w:cs="Times New Roman"/>
          <w:szCs w:val="21"/>
          <w:highlight w:val="none"/>
        </w:rPr>
        <w:t>IDC, invasive ductal carcinoma; PSH, proportional subdistribution hazard.</w:t>
      </w:r>
    </w:p>
    <w:p w14:paraId="72180C2C">
      <w:pPr>
        <w:spacing w:line="360" w:lineRule="auto"/>
        <w:rPr>
          <w:rFonts w:ascii="Times New Roman" w:hAnsi="Times New Roman" w:cs="Times New Roman"/>
          <w:b/>
          <w:bCs/>
          <w:sz w:val="24"/>
          <w:highlight w:val="none"/>
        </w:rPr>
      </w:pPr>
    </w:p>
    <w:p w14:paraId="042B6D39">
      <w:pPr>
        <w:spacing w:line="360" w:lineRule="auto"/>
        <w:rPr>
          <w:rFonts w:ascii="Times New Roman" w:hAnsi="Times New Roman" w:cs="Times New Roman"/>
          <w:b/>
          <w:bCs/>
          <w:sz w:val="24"/>
          <w:highlight w:val="none"/>
        </w:rPr>
      </w:pPr>
      <w:r>
        <w:rPr>
          <w:rFonts w:hint="eastAsia" w:ascii="Times New Roman" w:hAnsi="Times New Roman" w:cs="Times New Roman"/>
          <w:b/>
          <w:bCs/>
          <w:sz w:val="24"/>
          <w:highlight w:val="none"/>
        </w:rPr>
        <w:t>Supplementary Figure 18. Confounder</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adjusted CIC of CIBC stratified by risk factors with violated PSH assumption in Black patients with IDC.</w:t>
      </w:r>
    </w:p>
    <w:p w14:paraId="1F14FF42">
      <w:pPr>
        <w:spacing w:line="360" w:lineRule="auto"/>
        <w:rPr>
          <w:rFonts w:ascii="Times New Roman" w:hAnsi="Times New Roman" w:cs="Times New Roman"/>
          <w:sz w:val="24"/>
          <w:highlight w:val="none"/>
        </w:rPr>
      </w:pPr>
      <w:r>
        <w:rPr>
          <w:rFonts w:hint="eastAsia" w:ascii="Times New Roman" w:hAnsi="Times New Roman" w:cs="Times New Roman"/>
          <w:sz w:val="24"/>
          <w:highlight w:val="none"/>
        </w:rPr>
        <w:t>(a) Confounder-adjusted CIC of CIBC stratified by age groups 61-70 and ≥71 years.</w:t>
      </w:r>
    </w:p>
    <w:p w14:paraId="03914D43">
      <w:pPr>
        <w:spacing w:line="360" w:lineRule="auto"/>
        <w:rPr>
          <w:rFonts w:ascii="Times New Roman" w:hAnsi="Times New Roman" w:cs="Times New Roman"/>
          <w:sz w:val="24"/>
          <w:highlight w:val="none"/>
        </w:rPr>
      </w:pPr>
      <w:r>
        <w:rPr>
          <w:rFonts w:hint="eastAsia" w:ascii="Times New Roman" w:hAnsi="Times New Roman" w:cs="Times New Roman"/>
          <w:sz w:val="24"/>
          <w:highlight w:val="none"/>
        </w:rPr>
        <w:t>(b) Confounder-adjusted CIC of CIBC stratified by N2 and N3 lymph node metastasis status.</w:t>
      </w:r>
    </w:p>
    <w:p w14:paraId="784DC559">
      <w:pPr>
        <w:spacing w:line="360" w:lineRule="auto"/>
        <w:rPr>
          <w:rFonts w:ascii="Times New Roman" w:hAnsi="Times New Roman" w:cs="Times New Roman"/>
          <w:sz w:val="24"/>
          <w:highlight w:val="none"/>
        </w:rPr>
      </w:pPr>
      <w:r>
        <w:rPr>
          <w:rFonts w:hint="eastAsia" w:ascii="Times New Roman" w:hAnsi="Times New Roman" w:cs="Times New Roman"/>
          <w:sz w:val="24"/>
          <w:highlight w:val="none"/>
        </w:rPr>
        <w:t>(c) Confounder-adjusted CIC of CIBC stratified by tumor size &gt;5 cm.</w:t>
      </w:r>
    </w:p>
    <w:p w14:paraId="371CA2C3">
      <w:pPr>
        <w:spacing w:line="360" w:lineRule="auto"/>
        <w:rPr>
          <w:rFonts w:ascii="Times New Roman" w:hAnsi="Times New Roman" w:cs="Times New Roman"/>
          <w:szCs w:val="21"/>
          <w:highlight w:val="none"/>
        </w:rPr>
      </w:pPr>
      <w:r>
        <w:rPr>
          <w:rFonts w:hint="eastAsia" w:ascii="Times New Roman" w:hAnsi="Times New Roman" w:cs="Times New Roman"/>
          <w:szCs w:val="21"/>
          <w:highlight w:val="none"/>
        </w:rPr>
        <w:t>Abbreviations: CIC, cumulative incidence curves; CIBC, contralateral invasive breast cancer; IDC, invasive ductal carcinoma.</w:t>
      </w:r>
    </w:p>
    <w:p w14:paraId="27E1F1DF">
      <w:pPr>
        <w:spacing w:line="360" w:lineRule="auto"/>
        <w:rPr>
          <w:rFonts w:ascii="Times New Roman" w:hAnsi="Times New Roman" w:cs="Times New Roman"/>
          <w:b/>
          <w:bCs/>
          <w:sz w:val="24"/>
          <w:highlight w:val="none"/>
        </w:rPr>
      </w:pPr>
    </w:p>
    <w:p w14:paraId="561A8127">
      <w:pPr>
        <w:spacing w:line="360" w:lineRule="auto"/>
        <w:rPr>
          <w:rFonts w:ascii="Times New Roman" w:hAnsi="Times New Roman" w:cs="Times New Roman"/>
          <w:b/>
          <w:bCs/>
          <w:sz w:val="24"/>
          <w:highlight w:val="none"/>
        </w:rPr>
      </w:pPr>
      <w:r>
        <w:rPr>
          <w:rFonts w:hint="eastAsia" w:ascii="Times New Roman" w:hAnsi="Times New Roman" w:cs="Times New Roman"/>
          <w:b/>
          <w:bCs/>
          <w:sz w:val="24"/>
          <w:highlight w:val="none"/>
        </w:rPr>
        <w:t>Supplementary Figure 19. Confounder</w:t>
      </w:r>
      <w:r>
        <w:rPr>
          <w:rFonts w:hint="eastAsia" w:ascii="Times New Roman" w:hAnsi="Times New Roman" w:cs="Times New Roman"/>
          <w:sz w:val="24"/>
          <w:highlight w:val="none"/>
        </w:rPr>
        <w:t>-</w:t>
      </w:r>
      <w:r>
        <w:rPr>
          <w:rFonts w:hint="eastAsia" w:ascii="Times New Roman" w:hAnsi="Times New Roman" w:cs="Times New Roman"/>
          <w:b/>
          <w:bCs/>
          <w:sz w:val="24"/>
          <w:highlight w:val="none"/>
        </w:rPr>
        <w:t>adjusted CIC of CIBC stratified by risk factors with violated PSH assumption in White patients with IDC.</w:t>
      </w:r>
    </w:p>
    <w:p w14:paraId="001C6459">
      <w:pPr>
        <w:spacing w:line="360" w:lineRule="auto"/>
        <w:rPr>
          <w:rFonts w:ascii="Times New Roman" w:hAnsi="Times New Roman" w:cs="Times New Roman"/>
          <w:sz w:val="24"/>
          <w:highlight w:val="none"/>
        </w:rPr>
      </w:pPr>
      <w:r>
        <w:rPr>
          <w:rFonts w:hint="eastAsia" w:ascii="Times New Roman" w:hAnsi="Times New Roman" w:cs="Times New Roman"/>
          <w:sz w:val="24"/>
          <w:highlight w:val="none"/>
        </w:rPr>
        <w:t>(a) Confounder-adjusted CIC of CIBC stratified by age groups 61-70 and ≥71 years.</w:t>
      </w:r>
    </w:p>
    <w:p w14:paraId="5C42509E">
      <w:pPr>
        <w:spacing w:line="360" w:lineRule="auto"/>
        <w:rPr>
          <w:rFonts w:ascii="Times New Roman" w:hAnsi="Times New Roman" w:cs="Times New Roman"/>
          <w:sz w:val="24"/>
          <w:highlight w:val="none"/>
        </w:rPr>
      </w:pPr>
      <w:r>
        <w:rPr>
          <w:rFonts w:hint="eastAsia" w:ascii="Times New Roman" w:hAnsi="Times New Roman" w:cs="Times New Roman"/>
          <w:sz w:val="24"/>
          <w:highlight w:val="none"/>
        </w:rPr>
        <w:t>(b) Confounder-adjusted CIC of CIBC stratified by N2 and N3 lymph node metastasis status.</w:t>
      </w:r>
    </w:p>
    <w:p w14:paraId="771BB6A1">
      <w:pPr>
        <w:spacing w:line="360" w:lineRule="auto"/>
        <w:rPr>
          <w:rFonts w:ascii="Times New Roman" w:hAnsi="Times New Roman" w:cs="Times New Roman"/>
          <w:sz w:val="24"/>
          <w:highlight w:val="none"/>
        </w:rPr>
      </w:pPr>
      <w:r>
        <w:rPr>
          <w:rFonts w:hint="eastAsia" w:ascii="Times New Roman" w:hAnsi="Times New Roman" w:cs="Times New Roman"/>
          <w:sz w:val="24"/>
          <w:highlight w:val="none"/>
        </w:rPr>
        <w:t>(c) Confounder-adjusted CIC of CIBC stratified by tumor size &gt;5 cm.</w:t>
      </w:r>
    </w:p>
    <w:p w14:paraId="40108C33">
      <w:pPr>
        <w:spacing w:line="360" w:lineRule="auto"/>
        <w:rPr>
          <w:rFonts w:hint="eastAsia" w:ascii="Times New Roman" w:hAnsi="Times New Roman" w:cs="Times New Roman"/>
          <w:szCs w:val="21"/>
          <w:highlight w:val="none"/>
        </w:rPr>
      </w:pPr>
      <w:r>
        <w:rPr>
          <w:rFonts w:hint="eastAsia" w:ascii="Times New Roman" w:hAnsi="Times New Roman" w:cs="Times New Roman"/>
          <w:szCs w:val="21"/>
          <w:highlight w:val="none"/>
        </w:rPr>
        <w:t>Abbreviations: CIC, cumulative incidence curves; CIBC, contralateral invasive breast cancer; IDC, invasive ductal carcinoma.</w:t>
      </w:r>
    </w:p>
    <w:p w14:paraId="7BFC8A65"/>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9"/>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3D0745"/>
    <w:rsid w:val="13201BEB"/>
    <w:rsid w:val="24EF7EEC"/>
    <w:rsid w:val="36CC0344"/>
    <w:rsid w:val="402E6E46"/>
    <w:rsid w:val="427208BA"/>
    <w:rsid w:val="51D42B21"/>
    <w:rsid w:val="55E14628"/>
    <w:rsid w:val="68155CD8"/>
    <w:rsid w:val="68DF7F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qFormat/>
    <w:uiPriority w:val="0"/>
  </w:style>
  <w:style w:type="table" w:default="1" w:styleId="2">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3032</Words>
  <Characters>18792</Characters>
  <Lines>0</Lines>
  <Paragraphs>0</Paragraphs>
  <TotalTime>0</TotalTime>
  <ScaleCrop>false</ScaleCrop>
  <LinksUpToDate>false</LinksUpToDate>
  <CharactersWithSpaces>21685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2026-08-28T14:38:00Z</dcterms:created>
  <dc:creator>guo</dc:creator>
  <cp:lastModifiedBy>WPS_1615004398</cp:lastModifiedBy>
  <dcterms:modified xsi:type="dcterms:W3CDTF">2026-09-03T14:32:43Z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KSOTemplateDocerSaveRecord">
    <vt:lpwstr>eyJoZGlkIjoiMDY2NWRhZGRiYTA0OGVlOTRjOTZiM2FiMmYzMzE2MWYiLCJ1c2VySWQiOiIxMTc3NjYzMDMzIn0=</vt:lpwstr>
  </property>
  <property fmtid="{D5CDD505-2E9C-101B-9397-08002B2CF9AE}" pid="4" name="ICV">
    <vt:lpwstr>5DEDB565F42947568D01D6006640231C_12</vt:lpwstr>
  </property>
</Properties>
</file>