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1412" w:tblpY="2282"/>
        <w:tblOverlap w:val="never"/>
        <w:tblW w:w="1417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1987"/>
        <w:gridCol w:w="1049"/>
        <w:gridCol w:w="1137"/>
      </w:tblGrid>
      <w:tr w14:paraId="4E390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</w:trPr>
        <w:tc>
          <w:tcPr>
            <w:tcW w:w="119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7943B7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eastAsia="zh-CN"/>
              </w:rPr>
              <w:t>Exclusion</w:t>
            </w:r>
          </w:p>
        </w:tc>
        <w:tc>
          <w:tcPr>
            <w:tcW w:w="104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260551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eastAsia="zh-CN"/>
              </w:rPr>
              <w:t>N</w:t>
            </w:r>
          </w:p>
        </w:tc>
        <w:tc>
          <w:tcPr>
            <w:tcW w:w="11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61A638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sz w:val="24"/>
                <w:szCs w:val="24"/>
                <w:lang w:eastAsia="zh-CN"/>
              </w:rPr>
              <w:t>%</w:t>
            </w:r>
          </w:p>
        </w:tc>
      </w:tr>
      <w:tr w14:paraId="67708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31DCC70D">
            <w:pPr>
              <w:numPr>
                <w:ilvl w:val="0"/>
                <w:numId w:val="0"/>
              </w:numPr>
              <w:snapToGrid w:val="0"/>
              <w:spacing w:beforeLines="0" w:afterLines="0" w:line="240" w:lineRule="auto"/>
              <w:ind w:left="0" w:leftChars="0" w:right="0" w:rightChars="0" w:firstLine="0" w:firstLineChars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Patients aged &lt;20 years or &gt;85 years at diagnosis</w:t>
            </w: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.</w:t>
            </w:r>
          </w:p>
        </w:tc>
        <w:tc>
          <w:tcPr>
            <w:tcW w:w="1049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4E33E6D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13619</w:t>
            </w:r>
          </w:p>
        </w:tc>
        <w:tc>
          <w:tcPr>
            <w:tcW w:w="1137" w:type="dxa"/>
            <w:tcBorders>
              <w:top w:val="single" w:color="000000" w:sz="4" w:space="0"/>
              <w:left w:val="nil"/>
              <w:bottom w:val="nil"/>
              <w:right w:val="nil"/>
            </w:tcBorders>
            <w:noWrap w:val="0"/>
            <w:vAlign w:val="center"/>
          </w:tcPr>
          <w:p w14:paraId="6A2B96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66</w:t>
            </w:r>
          </w:p>
        </w:tc>
      </w:tr>
      <w:tr w14:paraId="074CD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174116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2.Patients with undocumented surgery, bilateral mastectomy at diagnosis, or no surgery performed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E7991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104687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52AC44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12.76</w:t>
            </w:r>
          </w:p>
        </w:tc>
      </w:tr>
      <w:tr w14:paraId="36A083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D76CEB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3.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 xml:space="preserve">Patients with bilateral breast cancer, unknown laterality at diagnosis, or undocumented laterality (small number) during follow-up 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1F487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8101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FD5491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0.99</w:t>
            </w:r>
          </w:p>
        </w:tc>
      </w:tr>
      <w:tr w14:paraId="7D0CD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50E3D4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4.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Patients with clinical or TNM stage indicating carcinoma in situ or distant metastasis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011175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109542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9FF5C9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13.35</w:t>
            </w:r>
          </w:p>
        </w:tc>
      </w:tr>
      <w:tr w14:paraId="3A0F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17A8AB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5.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Patients with tumor size ≥15 cm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7CF8B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621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16B326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0.08</w:t>
            </w:r>
          </w:p>
        </w:tc>
      </w:tr>
      <w:tr w14:paraId="5FDFD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2D682F22">
            <w:pPr>
              <w:snapToGrid w:val="0"/>
              <w:spacing w:beforeLines="0" w:afterLines="0" w:line="240" w:lineRule="auto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6.Missing or no follow-up months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8D6D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306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2FCCE0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04</w:t>
            </w:r>
          </w:p>
        </w:tc>
      </w:tr>
      <w:tr w14:paraId="2FE98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BB2186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7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.Patients undergoing bilateral mastectomy for ipsilateral ductal carcinoma in situ or invasive carcinoma within 6 months after initial diagnosis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33349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19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7AE6B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</w:t>
            </w:r>
          </w:p>
        </w:tc>
      </w:tr>
      <w:tr w14:paraId="20ADD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9AEC5B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.Patients with contralateral ductal carcinoma in situ (DCIS) or invasive carcinoma diagnosed within 6 months after initial diagnosis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95AD9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14897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38EA24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82</w:t>
            </w:r>
          </w:p>
        </w:tc>
      </w:tr>
      <w:tr w14:paraId="5EF9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0281DC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9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.Patients diagnosed with new primary non-breast malignancies within 6 months after initial breast cancer diagnosis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640B0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8981</w:t>
            </w:r>
            <w:bookmarkStart w:id="0" w:name="_GoBack"/>
            <w:bookmarkEnd w:id="0"/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A3AD3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1.09</w:t>
            </w:r>
          </w:p>
        </w:tc>
      </w:tr>
      <w:tr w14:paraId="0B7F2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4A73CE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.Patients with follow-up time less than 6 months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070E48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7287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DF82B6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0.8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9</w:t>
            </w:r>
          </w:p>
        </w:tc>
      </w:tr>
      <w:tr w14:paraId="3D13B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C8E200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11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</w:rPr>
              <w:t>.Asian, racial minorities (American Indian, Alaska Native, Native Hawaiian, Pacific Islander, etc.) or patients with unknown race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67F4AC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61214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1C61C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highlight w:val="none"/>
                <w:lang w:val="en-US" w:eastAsia="zh-CN"/>
              </w:rPr>
              <w:t>7.46</w:t>
            </w:r>
          </w:p>
        </w:tc>
      </w:tr>
      <w:tr w14:paraId="30A8A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259" w:hRule="atLeast"/>
        </w:trPr>
        <w:tc>
          <w:tcPr>
            <w:tcW w:w="1198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51BF867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i w:val="0"/>
                <w:iCs/>
                <w:sz w:val="24"/>
                <w:szCs w:val="24"/>
              </w:rPr>
              <w:t>Eligible for study</w:t>
            </w:r>
          </w:p>
        </w:tc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74A8F4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491367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FBDC19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59.88</w:t>
            </w:r>
          </w:p>
        </w:tc>
      </w:tr>
      <w:tr w14:paraId="7D9AF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90" w:hRule="atLeast"/>
        </w:trPr>
        <w:tc>
          <w:tcPr>
            <w:tcW w:w="11987" w:type="dxa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4B1B57F9">
            <w:pPr>
              <w:snapToGrid w:val="0"/>
              <w:ind w:left="0" w:leftChars="0" w:right="0" w:rightChars="0" w:firstLine="0" w:firstLineChars="0"/>
              <w:jc w:val="left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240DBD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820641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000000" w:sz="4" w:space="0"/>
              <w:right w:val="nil"/>
            </w:tcBorders>
            <w:noWrap w:val="0"/>
            <w:vAlign w:val="center"/>
          </w:tcPr>
          <w:p w14:paraId="0D97A31F">
            <w:pPr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100</w:t>
            </w:r>
          </w:p>
        </w:tc>
      </w:tr>
    </w:tbl>
    <w:p w14:paraId="55DF67B4"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1. Screening and exclusion criteria for patients with invasive ductal carcinoma (IDC).</w:t>
      </w:r>
    </w:p>
    <w:p w14:paraId="767C0DA9">
      <w:pPr>
        <w:rPr>
          <w:rFonts w:hint="default" w:ascii="Times New Roman" w:hAnsi="Times New Roman" w:cs="Times New Roman"/>
          <w:b/>
          <w:bCs/>
        </w:rPr>
      </w:pPr>
    </w:p>
    <w:p w14:paraId="59E97F32"/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6CDC"/>
    <w:rsid w:val="0ADA4610"/>
    <w:rsid w:val="0BA81653"/>
    <w:rsid w:val="10376F37"/>
    <w:rsid w:val="139C6028"/>
    <w:rsid w:val="1DBE45B1"/>
    <w:rsid w:val="1E996C5E"/>
    <w:rsid w:val="28387A21"/>
    <w:rsid w:val="30A226FC"/>
    <w:rsid w:val="3A3D699D"/>
    <w:rsid w:val="45094547"/>
    <w:rsid w:val="481E4F54"/>
    <w:rsid w:val="48545A7F"/>
    <w:rsid w:val="4C394D95"/>
    <w:rsid w:val="50F347FF"/>
    <w:rsid w:val="517A013D"/>
    <w:rsid w:val="5B093F74"/>
    <w:rsid w:val="69194A91"/>
    <w:rsid w:val="78B37CFB"/>
    <w:rsid w:val="792D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宋体" w:cs="Times New Roman"/>
      <w:sz w:val="24"/>
      <w:szCs w:val="24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680"/>
        <w:tab w:val="right" w:pos="9360"/>
      </w:tabs>
    </w:pPr>
  </w:style>
  <w:style w:type="table" w:styleId="4">
    <w:name w:val="Table Grid"/>
    <w:basedOn w:val="3"/>
    <w:qFormat/>
    <w:uiPriority w:val="39"/>
    <w:rPr>
      <w:rFonts w:eastAsia="宋体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able Caption"/>
    <w:basedOn w:val="7"/>
    <w:qFormat/>
    <w:uiPriority w:val="0"/>
  </w:style>
  <w:style w:type="paragraph" w:customStyle="1" w:styleId="7">
    <w:name w:val="Image Caption"/>
    <w:basedOn w:val="1"/>
    <w:qFormat/>
    <w:uiPriority w:val="0"/>
    <w:pPr>
      <w:jc w:val="center"/>
    </w:pPr>
    <w:rPr>
      <w:b/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185</Words>
  <Characters>1115</Characters>
  <Lines>0</Lines>
  <Paragraphs>0</Paragraphs>
  <TotalTime>1</TotalTime>
  <ScaleCrop>false</ScaleCrop>
  <LinksUpToDate>false</LinksUpToDate>
  <CharactersWithSpaces>1258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2025-11-02T14:26:00Z</dcterms:created>
  <dc:creator>guo</dc:creator>
  <cp:lastModifiedBy>WPS_1615004398</cp:lastModifiedBy>
  <dcterms:modified xsi:type="dcterms:W3CDTF">2026-08-29T07:00:32Z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7275595E5B98472A858797AABDBDB169_12</vt:lpwstr>
  </property>
</Properties>
</file>