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D9DF2">
      <w:pPr>
        <w:spacing w:line="360" w:lineRule="auto"/>
        <w:rPr>
          <w:rFonts w:hint="default" w:ascii="Times New Roman" w:hAnsi="Times New Roman" w:eastAsia="Arial" w:cs="Times New Roman"/>
          <w:b/>
          <w:i w:val="0"/>
          <w:color w:val="000000" w:themeColor="dark1"/>
          <w:sz w:val="24"/>
          <w:szCs w:val="24"/>
          <w:u w:val="none"/>
          <w14:textFill>
            <w14:solidFill>
              <w14:schemeClr w14:val="dk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10. PSH assumption test results for variables in the final model in patients with DCIS.</w:t>
      </w:r>
    </w:p>
    <w:tbl>
      <w:tblPr>
        <w:tblStyle w:val="2"/>
        <w:tblW w:w="987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4467"/>
        <w:gridCol w:w="1485"/>
        <w:gridCol w:w="1644"/>
      </w:tblGrid>
      <w:tr w14:paraId="04468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F0C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Variable</w:t>
            </w:r>
          </w:p>
        </w:tc>
        <w:tc>
          <w:tcPr>
            <w:tcW w:w="44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B6F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14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EB6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KS P-value</w:t>
            </w: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DAF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CvM P-value</w:t>
            </w:r>
          </w:p>
        </w:tc>
      </w:tr>
      <w:tr w14:paraId="108E3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74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2F2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Age</w:t>
            </w:r>
          </w:p>
        </w:tc>
        <w:tc>
          <w:tcPr>
            <w:tcW w:w="44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B5B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≤50 (ref)</w:t>
            </w:r>
          </w:p>
        </w:tc>
        <w:tc>
          <w:tcPr>
            <w:tcW w:w="148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BEB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806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018FA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589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AD5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51-60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F62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0.380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74C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0.530</w:t>
            </w:r>
          </w:p>
        </w:tc>
      </w:tr>
      <w:tr w14:paraId="55BD4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466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9D3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61-70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028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030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9B3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37D57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356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BD6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≥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988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89D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61BA2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0D8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0FB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≤2cm</w:t>
            </w:r>
            <w:bookmarkStart w:id="0" w:name="_GoBack"/>
            <w:bookmarkEnd w:id="0"/>
            <w:r>
              <w:rPr>
                <w:rFonts w:hint="eastAsia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78C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C17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4D3C5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1D6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539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2-5cm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680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0.270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565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0.350</w:t>
            </w:r>
          </w:p>
        </w:tc>
      </w:tr>
      <w:tr w14:paraId="76F6C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305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CBA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&gt;5cm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64A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0.120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593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0.060</w:t>
            </w:r>
          </w:p>
        </w:tc>
      </w:tr>
      <w:tr w14:paraId="1373C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DC3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C0A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884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0.020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C0B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0.040</w:t>
            </w:r>
          </w:p>
        </w:tc>
      </w:tr>
      <w:tr w14:paraId="06CFD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48E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  <w:t>Histologic subtype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FA0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Ductal carcinoma NOS (ref)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C1F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38E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39CE8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C6B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FF0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Comedocarcinoma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B61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0.950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23C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0.960</w:t>
            </w:r>
          </w:p>
        </w:tc>
      </w:tr>
      <w:tr w14:paraId="47A2C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7300F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66E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Cribriform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F52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0.630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C40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0.460</w:t>
            </w:r>
          </w:p>
        </w:tc>
      </w:tr>
      <w:tr w14:paraId="66C2A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D77CB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F19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Ductal, solid type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B7D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43C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0.170</w:t>
            </w:r>
          </w:p>
        </w:tc>
      </w:tr>
      <w:tr w14:paraId="62FC5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1CA26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69F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Micropapillary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AB0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0.040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F3B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0.010</w:t>
            </w:r>
          </w:p>
        </w:tc>
      </w:tr>
      <w:tr w14:paraId="08D30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9823E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6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64C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Papillary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485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0.220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516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0.500</w:t>
            </w:r>
          </w:p>
        </w:tc>
      </w:tr>
    </w:tbl>
    <w:p w14:paraId="05AD242B"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Abbreviation: PSH: proportional subdistribution hazard; DCIS: ductal carcinoma in situ; ref: reference category.</w:t>
      </w:r>
    </w:p>
    <w:p w14:paraId="4EA914D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136B0"/>
    <w:rsid w:val="16373908"/>
    <w:rsid w:val="25AF395A"/>
    <w:rsid w:val="34BF16A5"/>
    <w:rsid w:val="35AB2B39"/>
    <w:rsid w:val="4EDB5FA1"/>
    <w:rsid w:val="54ED5C63"/>
    <w:rsid w:val="6E6B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503</Characters>
  <Lines>0</Lines>
  <Paragraphs>0</Paragraphs>
  <TotalTime>0</TotalTime>
  <ScaleCrop>false</ScaleCrop>
  <LinksUpToDate>false</LinksUpToDate>
  <CharactersWithSpaces>543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2026-05-01T08:38:00Z</dcterms:created>
  <dc:creator>guo</dc:creator>
  <cp:lastModifiedBy>WPS_1615004398</cp:lastModifiedBy>
  <dcterms:modified xsi:type="dcterms:W3CDTF">2026-08-26T08:03:33Z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eyJoZGlkIjoiMDY2NWRhZGRiYTA0OGVlOTRjOTZiM2FiMmYzMzE2MWYiLCJ1c2VySWQiOiIxMTc3NjYzMDMzIn0=</vt:lpwstr>
  </property>
  <property fmtid="{D5CDD505-2E9C-101B-9397-08002B2CF9AE}" pid="4" name="ICV">
    <vt:lpwstr>DBF1936261EA471E84B500EB2343B23F_12</vt:lpwstr>
  </property>
</Properties>
</file>