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B1B066">
      <w:pPr>
        <w:spacing w:line="360" w:lineRule="auto"/>
      </w:pPr>
      <w:r>
        <w:rPr>
          <w:rFonts w:hint="eastAsia" w:ascii="Times New Roman" w:hAnsi="Times New Roman" w:cs="Times New Roman"/>
          <w:b/>
          <w:bCs/>
          <w:sz w:val="24"/>
        </w:rPr>
        <w:t>Supplementary Table 1</w:t>
      </w:r>
      <w:r>
        <w:rPr>
          <w:rFonts w:hint="eastAsia" w:ascii="Times New Roman" w:hAnsi="Times New Roman" w:cs="Times New Roman"/>
          <w:b/>
          <w:bCs/>
          <w:sz w:val="24"/>
          <w:lang w:val="en-US" w:eastAsia="zh-CN"/>
        </w:rPr>
        <w:t>3</w:t>
      </w:r>
      <w:r>
        <w:rPr>
          <w:rFonts w:hint="eastAsia" w:ascii="Times New Roman" w:hAnsi="Times New Roman" w:cs="Times New Roman"/>
          <w:b/>
          <w:bCs/>
          <w:sz w:val="24"/>
        </w:rPr>
        <w:t>. Fixed</w:t>
      </w:r>
      <w:r>
        <w:rPr>
          <w:rFonts w:hint="eastAsia" w:ascii="Times New Roman" w:hAnsi="Times New Roman" w:cs="Times New Roman"/>
          <w:sz w:val="24"/>
        </w:rPr>
        <w:t>-</w:t>
      </w:r>
      <w:r>
        <w:rPr>
          <w:rFonts w:hint="eastAsia" w:ascii="Times New Roman" w:hAnsi="Times New Roman" w:cs="Times New Roman"/>
          <w:b/>
          <w:bCs/>
          <w:sz w:val="24"/>
        </w:rPr>
        <w:t>effect and landmark Fine</w:t>
      </w:r>
      <w:r>
        <w:rPr>
          <w:rFonts w:hint="eastAsia" w:ascii="Times New Roman" w:hAnsi="Times New Roman" w:cs="Times New Roman"/>
          <w:sz w:val="24"/>
        </w:rPr>
        <w:t>-</w:t>
      </w:r>
      <w:r>
        <w:rPr>
          <w:rFonts w:hint="eastAsia" w:ascii="Times New Roman" w:hAnsi="Times New Roman" w:cs="Times New Roman"/>
          <w:b/>
          <w:bCs/>
          <w:sz w:val="24"/>
        </w:rPr>
        <w:t>Gray competing risks analysis of CIBC risk factors in Black and White patients with DCIS.</w:t>
      </w:r>
    </w:p>
    <w:tbl>
      <w:tblPr>
        <w:tblStyle w:val="8"/>
        <w:tblW w:w="14173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2308"/>
        <w:gridCol w:w="1873"/>
        <w:gridCol w:w="1216"/>
        <w:gridCol w:w="2103"/>
        <w:gridCol w:w="1873"/>
        <w:gridCol w:w="1144"/>
        <w:gridCol w:w="2104"/>
      </w:tblGrid>
      <w:tr w14:paraId="6EFBFF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C718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Variable</w:t>
            </w:r>
          </w:p>
        </w:tc>
        <w:tc>
          <w:tcPr>
            <w:tcW w:w="2308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82AB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Level</w:t>
            </w:r>
          </w:p>
        </w:tc>
        <w:tc>
          <w:tcPr>
            <w:tcW w:w="187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796EA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HR(95%CI)</w:t>
            </w:r>
          </w:p>
        </w:tc>
        <w:tc>
          <w:tcPr>
            <w:tcW w:w="1216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3766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P</w:t>
            </w:r>
            <w:r>
              <w:rPr>
                <w:rFonts w:hint="eastAsia" w:ascii="Times New Roman" w:hAnsi="Times New Roman" w:eastAsia="Arial" w:cs="Times New Roman"/>
                <w:b w:val="0"/>
                <w:bCs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-</w:t>
            </w: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Value</w:t>
            </w:r>
          </w:p>
        </w:tc>
        <w:tc>
          <w:tcPr>
            <w:tcW w:w="210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68CD4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FDR</w:t>
            </w:r>
            <w:r>
              <w:rPr>
                <w:rFonts w:hint="default" w:ascii="Times New Roman" w:hAnsi="Times New Roman" w:eastAsia="Arial" w:cs="Times New Roman"/>
                <w:b w:val="0"/>
                <w:bCs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‑</w:t>
            </w: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adjustedP</w:t>
            </w:r>
          </w:p>
        </w:tc>
        <w:tc>
          <w:tcPr>
            <w:tcW w:w="187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1561E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en-US" w:bidi="ar-SA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HR(95%CI)</w:t>
            </w:r>
          </w:p>
        </w:tc>
        <w:tc>
          <w:tcPr>
            <w:tcW w:w="114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0D2E0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 w:bidi="ar-SA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P</w:t>
            </w:r>
            <w:r>
              <w:rPr>
                <w:rFonts w:hint="eastAsia" w:ascii="Times New Roman" w:hAnsi="Times New Roman" w:eastAsia="Arial" w:cs="Times New Roman"/>
                <w:b w:val="0"/>
                <w:bCs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-</w:t>
            </w: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Value</w:t>
            </w:r>
          </w:p>
        </w:tc>
        <w:tc>
          <w:tcPr>
            <w:tcW w:w="210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DE61A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en-US" w:bidi="ar-SA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FDR</w:t>
            </w:r>
            <w:r>
              <w:rPr>
                <w:rFonts w:hint="default" w:ascii="Times New Roman" w:hAnsi="Times New Roman" w:eastAsia="Arial" w:cs="Times New Roman"/>
                <w:b w:val="0"/>
                <w:bCs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‑</w:t>
            </w: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adjustedP</w:t>
            </w:r>
          </w:p>
        </w:tc>
      </w:tr>
      <w:tr w14:paraId="09D1E3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190C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</w:pPr>
          </w:p>
        </w:tc>
        <w:tc>
          <w:tcPr>
            <w:tcW w:w="230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2DCDD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</w:pPr>
          </w:p>
        </w:tc>
        <w:tc>
          <w:tcPr>
            <w:tcW w:w="51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5BBB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Black</w:t>
            </w:r>
          </w:p>
        </w:tc>
        <w:tc>
          <w:tcPr>
            <w:tcW w:w="5121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053C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White</w:t>
            </w:r>
          </w:p>
        </w:tc>
      </w:tr>
      <w:tr w14:paraId="7FF97E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C37C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Age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9811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≤</w:t>
            </w: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50（ref）</w:t>
            </w:r>
          </w:p>
        </w:tc>
        <w:tc>
          <w:tcPr>
            <w:tcW w:w="1873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7449C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1.00 (ref)</w:t>
            </w:r>
          </w:p>
        </w:tc>
        <w:tc>
          <w:tcPr>
            <w:tcW w:w="121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9A18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</w:rPr>
            </w:pPr>
          </w:p>
        </w:tc>
        <w:tc>
          <w:tcPr>
            <w:tcW w:w="2103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8BF7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</w:rPr>
            </w:pPr>
          </w:p>
        </w:tc>
        <w:tc>
          <w:tcPr>
            <w:tcW w:w="1873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2A60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</w:rPr>
            </w:pPr>
          </w:p>
        </w:tc>
        <w:tc>
          <w:tcPr>
            <w:tcW w:w="114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2376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</w:rPr>
            </w:pPr>
          </w:p>
        </w:tc>
        <w:tc>
          <w:tcPr>
            <w:tcW w:w="210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C5E1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</w:rPr>
            </w:pPr>
          </w:p>
        </w:tc>
      </w:tr>
      <w:tr w14:paraId="2C915B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75CCE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</w:pP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A7CDC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51-60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B28E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1.39(1.08-1.78)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219D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0.009</w:t>
            </w: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84D5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09A1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1.16(1.06 - 1.27)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97017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0.002</w:t>
            </w: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793D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</w:tr>
      <w:tr w14:paraId="2ADCB0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9729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EFE9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61-70</w:t>
            </w:r>
          </w:p>
        </w:tc>
        <w:tc>
          <w:tcPr>
            <w:tcW w:w="187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B9608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1.64(1.28-2.11)</w:t>
            </w:r>
          </w:p>
        </w:tc>
        <w:tc>
          <w:tcPr>
            <w:tcW w:w="121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7641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&lt;0.001</w:t>
            </w:r>
          </w:p>
        </w:tc>
        <w:tc>
          <w:tcPr>
            <w:tcW w:w="2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68A5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6D38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1.39 (1.26-1.54)</w:t>
            </w: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 w:bidi="ar-SA"/>
              </w:rPr>
              <w:t>1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1102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133A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&lt;0.001</w:t>
            </w:r>
          </w:p>
        </w:tc>
      </w:tr>
      <w:tr w14:paraId="099380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74F6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7DB8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187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E612C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121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1AE5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2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CF82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0B3E0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0.83 (0.60-1.16)</w:t>
            </w: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 w:bidi="ar-SA"/>
              </w:rPr>
              <w:t>1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F75C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0280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0.643</w:t>
            </w:r>
          </w:p>
        </w:tc>
      </w:tr>
      <w:tr w14:paraId="0B5682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21C2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4A7D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≥71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96C77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1.42 (0.99-2.04)</w:t>
            </w: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 w:bidi="ar-SA"/>
              </w:rPr>
              <w:t>2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C4E7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FED3A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0.269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7913C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1.37 (1.21-1.55)</w:t>
            </w: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 w:bidi="ar-SA"/>
              </w:rPr>
              <w:t>2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6977D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844F8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&lt;0.001</w:t>
            </w:r>
          </w:p>
        </w:tc>
      </w:tr>
      <w:tr w14:paraId="58C121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1CD06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</w:pPr>
          </w:p>
        </w:tc>
        <w:tc>
          <w:tcPr>
            <w:tcW w:w="230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730A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272B0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0.85 (0.46-1.57)</w:t>
            </w: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 w:bidi="ar-SA"/>
              </w:rPr>
              <w:t>2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8076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F2ACA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0.775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FBD7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0.73 (0.60-0.90)</w:t>
            </w: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 w:bidi="ar-SA"/>
              </w:rPr>
              <w:t>2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F77A4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C5AD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0.016</w:t>
            </w:r>
          </w:p>
        </w:tc>
      </w:tr>
      <w:tr w14:paraId="6E2A65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7AACA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Arial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  <w:lang w:val="en-US" w:eastAsia="en-US"/>
              </w:rPr>
              <w:t>Histologic subtype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E0D7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Ductal carcinoma NOS (ref)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DA70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1.00 (ref)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3B7A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3BE1A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66DE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A994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701DE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</w:tr>
      <w:tr w14:paraId="01AFA7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6955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Arial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230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9E856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  <w:t>Micropapillary</w:t>
            </w:r>
          </w:p>
        </w:tc>
        <w:tc>
          <w:tcPr>
            <w:tcW w:w="187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2836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1.48(1.02-2.15)</w:t>
            </w:r>
          </w:p>
        </w:tc>
        <w:tc>
          <w:tcPr>
            <w:tcW w:w="121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64658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0.037</w:t>
            </w:r>
          </w:p>
        </w:tc>
        <w:tc>
          <w:tcPr>
            <w:tcW w:w="2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4DAAE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F8A16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1.50 (1.24-1.82)</w:t>
            </w: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 w:bidi="ar-SA"/>
              </w:rPr>
              <w:t>3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8CB0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3AA50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&lt;0.001</w:t>
            </w:r>
          </w:p>
        </w:tc>
      </w:tr>
      <w:tr w14:paraId="7EF732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467DE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715C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/>
              </w:rPr>
            </w:pPr>
          </w:p>
        </w:tc>
        <w:tc>
          <w:tcPr>
            <w:tcW w:w="187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F85B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121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368C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</w:pPr>
          </w:p>
        </w:tc>
        <w:tc>
          <w:tcPr>
            <w:tcW w:w="2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C86A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CC568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0.58 (0.40-0.85)</w:t>
            </w: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 w:bidi="ar-SA"/>
              </w:rPr>
              <w:t>3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09C57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A60D7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0.021</w:t>
            </w:r>
          </w:p>
        </w:tc>
      </w:tr>
      <w:tr w14:paraId="3CBE33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4EB9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FECBD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  <w:t>Comedocarcinoma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0FBC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0.88(0.66-1.17)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1F3E0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0.360</w:t>
            </w: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2490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44238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1.00(0.90 - 1.10)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B9F3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0.930</w:t>
            </w: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2C63E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</w:tr>
      <w:tr w14:paraId="502492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E7A3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B6AA6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  <w:t>Cribriform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B557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0.80(0.59-1.09)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F77D7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0.160</w:t>
            </w: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9AB7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3F043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0.98(0.88 - 1.09)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1DF4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0.720</w:t>
            </w: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492FB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</w:tr>
      <w:tr w14:paraId="30E34C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4B7E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12E5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  <w:t>Ductal, solid type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6576A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1.06(0.75-1.50)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0839D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0.760</w:t>
            </w: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F5A1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8B2C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1.06(0.94 - 1.20)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718E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0.340</w:t>
            </w: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52C0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</w:tr>
      <w:tr w14:paraId="63E255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92EF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AD8F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  <w:t>Papillary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C71F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0.85(0.57 - 1.28)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D59FD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0.450</w:t>
            </w: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1548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4AD00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1.07(0.90 - 1.27)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CACB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0.120</w:t>
            </w: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F66C4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</w:tr>
      <w:tr w14:paraId="2B756E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restart"/>
            <w:tcBorders>
              <w:top w:val="nil"/>
              <w:left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B612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bookmarkStart w:id="0" w:name="_GoBack" w:colFirst="0" w:colLast="7"/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Tumor Size Group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7667E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≤2cm</w:t>
            </w:r>
            <w:r>
              <w:rPr>
                <w:rFonts w:hint="eastAsia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 xml:space="preserve"> (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ref</w:t>
            </w:r>
            <w:r>
              <w:rPr>
                <w:rFonts w:hint="eastAsia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47E4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1.00 (ref)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A545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6C13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F152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04ABA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65C7A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</w:tr>
      <w:tr w14:paraId="5911A9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left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A526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4375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2-5cm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3962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0.86(0.63-1.18)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5C30E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0.350</w:t>
            </w: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47DCC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A68DD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1.06(0.95 - 1.19)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F8538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0.280</w:t>
            </w: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0964F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</w:tr>
      <w:tr w14:paraId="1B89F6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left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FFB1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5707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&gt;</w:t>
            </w: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5cm</w:t>
            </w: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58F7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1.46(0.96-2.22)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D710D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0.074</w:t>
            </w: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6AD4C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8E879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1.22(1.03-1.45)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9AEB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0.036</w:t>
            </w:r>
          </w:p>
        </w:tc>
        <w:tc>
          <w:tcPr>
            <w:tcW w:w="21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731B7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</w:tr>
      <w:tr w14:paraId="0899D5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2" w:type="dxa"/>
            <w:vMerge w:val="continue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B12E5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30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B64BF">
            <w:pPr>
              <w:keepNext w:val="0"/>
              <w:keepLines w:val="0"/>
              <w:widowControl w:val="0"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/>
              <w:ind w:left="0" w:leftChars="0" w:right="0" w:right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8090C"/>
                <w:kern w:val="2"/>
                <w:sz w:val="24"/>
                <w:szCs w:val="24"/>
                <w:lang w:val="en-US" w:eastAsia="zh-CN" w:bidi="ar"/>
              </w:rPr>
              <w:t>Unknow</w:t>
            </w:r>
          </w:p>
        </w:tc>
        <w:tc>
          <w:tcPr>
            <w:tcW w:w="1873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B02B3">
            <w:pPr>
              <w:keepNext w:val="0"/>
              <w:keepLines w:val="0"/>
              <w:widowControl w:val="0"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/>
              <w:ind w:left="0" w:leftChars="0" w:right="0" w:rightChars="0"/>
              <w:jc w:val="center"/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color w:val="08090C"/>
                <w:kern w:val="2"/>
                <w:sz w:val="24"/>
                <w:szCs w:val="24"/>
                <w:lang w:val="en-US" w:eastAsia="zh-CN" w:bidi="ar"/>
              </w:rPr>
              <w:t>1.11</w:t>
            </w:r>
            <w:r>
              <w:rPr>
                <w:rFonts w:hint="default" w:ascii="Times New Roman" w:hAnsi="Times New Roman" w:eastAsia="宋体" w:cs="Times New Roman"/>
                <w:color w:val="08090C"/>
                <w:kern w:val="2"/>
                <w:sz w:val="24"/>
                <w:szCs w:val="24"/>
                <w:lang w:val="en-US" w:eastAsia="zh-CN" w:bidi="ar"/>
              </w:rPr>
              <w:t>(0.99-1.25)</w:t>
            </w:r>
          </w:p>
        </w:tc>
        <w:tc>
          <w:tcPr>
            <w:tcW w:w="121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98AFA">
            <w:pPr>
              <w:keepNext w:val="0"/>
              <w:keepLines w:val="0"/>
              <w:widowControl w:val="0"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/>
              <w:ind w:left="0" w:leftChars="0" w:right="0" w:rightChars="0"/>
              <w:jc w:val="center"/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8090C"/>
                <w:kern w:val="2"/>
                <w:sz w:val="24"/>
                <w:szCs w:val="24"/>
                <w:lang w:val="en-US" w:eastAsia="zh-CN" w:bidi="ar"/>
              </w:rPr>
              <w:t>0.082</w:t>
            </w:r>
          </w:p>
        </w:tc>
        <w:tc>
          <w:tcPr>
            <w:tcW w:w="2103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9540D">
            <w:pPr>
              <w:keepNext w:val="0"/>
              <w:keepLines w:val="0"/>
              <w:widowControl w:val="0"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/>
              <w:ind w:left="0" w:leftChars="0" w:right="0" w:right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3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8F331">
            <w:pPr>
              <w:keepNext w:val="0"/>
              <w:keepLines w:val="0"/>
              <w:widowControl w:val="0"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/>
              <w:ind w:left="0" w:leftChars="0" w:right="0" w:rightChars="0"/>
              <w:jc w:val="center"/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8090C"/>
                <w:kern w:val="2"/>
                <w:sz w:val="24"/>
                <w:szCs w:val="24"/>
                <w:lang w:val="en-US" w:eastAsia="zh-CN" w:bidi="ar"/>
              </w:rPr>
              <w:t>1.01(0.94-1.09)</w:t>
            </w:r>
          </w:p>
        </w:tc>
        <w:tc>
          <w:tcPr>
            <w:tcW w:w="114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2698A">
            <w:pPr>
              <w:keepNext w:val="0"/>
              <w:keepLines w:val="0"/>
              <w:widowControl w:val="0"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/>
              <w:ind w:left="0" w:leftChars="0" w:right="0" w:rightChars="0"/>
              <w:jc w:val="center"/>
              <w:rPr>
                <w:rFonts w:hint="eastAsia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8090C"/>
                <w:kern w:val="2"/>
                <w:sz w:val="24"/>
                <w:szCs w:val="24"/>
                <w:lang w:val="en-US" w:eastAsia="zh-CN" w:bidi="ar"/>
              </w:rPr>
              <w:t>0.799</w:t>
            </w:r>
          </w:p>
        </w:tc>
        <w:tc>
          <w:tcPr>
            <w:tcW w:w="210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CF791">
            <w:pPr>
              <w:keepNext w:val="0"/>
              <w:keepLines w:val="0"/>
              <w:widowControl/>
              <w:suppressLineNumbers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beforeAutospacing="0" w:after="10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/>
              </w:rPr>
            </w:pPr>
          </w:p>
        </w:tc>
      </w:tr>
      <w:bookmarkEnd w:id="0"/>
    </w:tbl>
    <w:p w14:paraId="30D89804">
      <w:pPr>
        <w:widowControl/>
        <w:suppressAutoHyphens/>
        <w:kinsoku w:val="0"/>
        <w:overflowPunct w:val="0"/>
        <w:spacing w:line="360" w:lineRule="auto"/>
        <w:jc w:val="left"/>
        <w:rPr>
          <w:rFonts w:hint="eastAsia" w:ascii="Times New Roman" w:hAnsi="Times New Roman" w:cs="Times New Roman"/>
          <w:sz w:val="21"/>
          <w:szCs w:val="21"/>
        </w:rPr>
      </w:pPr>
      <w:r>
        <w:rPr>
          <w:rFonts w:hint="eastAsia" w:ascii="Times New Roman" w:hAnsi="Times New Roman" w:cs="Times New Roman"/>
          <w:sz w:val="21"/>
          <w:szCs w:val="21"/>
        </w:rPr>
        <w:t>Abbreviation: HR: hazard ratio; CI: confidence interval; ref: reference category; CIBC: contralateral invasive breast cancer; DCIS: ductal carcinoma in situ; FDR</w:t>
      </w:r>
      <w:r>
        <w:rPr>
          <w:rFonts w:hint="eastAsia" w:ascii="Times New Roman" w:hAnsi="Times New Roman" w:cs="Times New Roman"/>
          <w:sz w:val="21"/>
          <w:szCs w:val="21"/>
        </w:rPr>
        <w:noBreakHyphen/>
      </w:r>
      <w:r>
        <w:rPr>
          <w:rFonts w:hint="eastAsia" w:ascii="Times New Roman" w:hAnsi="Times New Roman" w:cs="Times New Roman"/>
          <w:sz w:val="21"/>
          <w:szCs w:val="21"/>
        </w:rPr>
        <w:t>adjusted P: false discovery rate</w:t>
      </w:r>
      <w:r>
        <w:rPr>
          <w:rFonts w:hint="eastAsia" w:ascii="Times New Roman" w:hAnsi="Times New Roman" w:cs="Times New Roman"/>
          <w:sz w:val="21"/>
          <w:szCs w:val="21"/>
        </w:rPr>
        <w:noBreakHyphen/>
      </w:r>
      <w:r>
        <w:rPr>
          <w:rFonts w:hint="eastAsia" w:ascii="Times New Roman" w:hAnsi="Times New Roman" w:cs="Times New Roman"/>
          <w:sz w:val="21"/>
          <w:szCs w:val="21"/>
        </w:rPr>
        <w:t>adjusted P value.</w:t>
      </w:r>
    </w:p>
    <w:p w14:paraId="69754A78">
      <w:pPr>
        <w:keepNext w:val="0"/>
        <w:keepLines w:val="0"/>
        <w:widowControl/>
        <w:suppressLineNumbers w:val="0"/>
        <w:suppressAutoHyphens/>
        <w:kinsoku w:val="0"/>
        <w:overflowPunct w:val="0"/>
        <w:spacing w:before="0" w:beforeAutospacing="0" w:after="0" w:afterAutospacing="0" w:line="360" w:lineRule="auto"/>
        <w:ind w:left="0" w:right="0"/>
        <w:jc w:val="left"/>
        <w:rPr>
          <w:rFonts w:hint="default" w:ascii="Times New Roman" w:hAnsi="Times New Roman" w:cs="Times New Roman"/>
          <w:szCs w:val="21"/>
          <w:lang w:val="en-US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Note: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Age 61-70 (15-year landmark cut-off);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Age ≥71 (9-year landmark cut-off);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Micropapillary carcinoma (9-year landmark cut-off). Each superscript denotes the paired early-phase and late-phase landmark results.</w:t>
      </w:r>
    </w:p>
    <w:p w14:paraId="6AEAAE2B">
      <w:pPr>
        <w:widowControl/>
        <w:suppressAutoHyphens/>
        <w:kinsoku w:val="0"/>
        <w:overflowPunct w:val="0"/>
        <w:spacing w:line="360" w:lineRule="auto"/>
        <w:jc w:val="left"/>
        <w:rPr>
          <w:rFonts w:hint="eastAsia" w:ascii="Times New Roman" w:hAnsi="Times New Roman" w:cs="Times New Roman"/>
          <w:sz w:val="21"/>
          <w:szCs w:val="21"/>
        </w:rPr>
      </w:pPr>
    </w:p>
    <w:p w14:paraId="6340E372">
      <w:pPr>
        <w:keepNext w:val="0"/>
        <w:keepLines w:val="0"/>
        <w:pageBreakBefore w:val="0"/>
        <w:widowControl/>
        <w:kinsoku w:val="0"/>
        <w:wordWrap/>
        <w:overflowPunct w:val="0"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cs="Times New Roman" w:eastAsiaTheme="minorEastAsia"/>
          <w:sz w:val="22"/>
          <w:szCs w:val="22"/>
          <w:lang w:val="en-US" w:eastAsia="zh-CN"/>
        </w:rPr>
      </w:pPr>
    </w:p>
    <w:sectPr>
      <w:type w:val="continuous"/>
      <w:pgSz w:w="16838" w:h="11906" w:orient="landscape"/>
      <w:pgMar w:top="1417" w:right="1417" w:bottom="1417" w:left="1417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Lucida Grande">
    <w:altName w:val="Courier New"/>
    <w:panose1 w:val="020B0600040502020204"/>
    <w:charset w:val="00"/>
    <w:family w:val="auto"/>
    <w:pitch w:val="default"/>
    <w:sig w:usb0="00000000" w:usb1="00000000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6FF" w:usb1="420024FF" w:usb2="02000000" w:usb3="00000000" w:csb0="2000019F" w:csb1="00000000"/>
  </w:font>
  <w:font w:name="@宋体">
    <w:panose1 w:val="02010600030101010101"/>
    <w:charset w:val="86"/>
    <w:family w:val="auto"/>
    <w:pitch w:val="variable"/>
    <w:sig w:usb0="00000203" w:usb1="288F0000" w:usb2="00000006" w:usb3="00000000" w:csb0="0004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E925FD"/>
    <w:multiLevelType w:val="multilevel"/>
    <w:tmpl w:val="07E925FD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3"/>
      <w:lvlText w:val="%1.%2."/>
      <w:lvlJc w:val="left"/>
      <w:pPr>
        <w:ind w:left="792" w:hanging="432"/>
      </w:pPr>
    </w:lvl>
    <w:lvl w:ilvl="2" w:tentative="0">
      <w:start w:val="1"/>
      <w:numFmt w:val="decimal"/>
      <w:pStyle w:val="4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1"/>
  <w:bordersDoNotSurroundFooter w:val="1"/>
  <w:documentProtection w:enforcement="0"/>
  <w:defaultTabStop w:val="708"/>
  <w:hyphenationZone w:val="425"/>
  <w:displayHorizontalDrawingGridEvery w:val="0"/>
  <w:displayVerticalDrawingGridEvery w:val="2"/>
  <w:compat>
    <w:balanceSingleByteDoubleByteWidth/>
    <w:doNotExpandShiftReturn/>
    <w:adjustLineHeightInTable/>
    <w:useFELayout/>
    <w:compatSetting w:name="compatibilityMode" w:uri="http://schemas.microsoft.com/office/word" w:val="15"/>
  </w:compat>
  <w:rsids>
    <w:rsidRoot w:val="00000000"/>
    <w:rsid w:val="010A3855"/>
    <w:rsid w:val="047F071D"/>
    <w:rsid w:val="05B21C01"/>
    <w:rsid w:val="075C00B6"/>
    <w:rsid w:val="10374B25"/>
    <w:rsid w:val="10442469"/>
    <w:rsid w:val="12DA083F"/>
    <w:rsid w:val="137420A1"/>
    <w:rsid w:val="16380CCC"/>
    <w:rsid w:val="16700F38"/>
    <w:rsid w:val="19866A23"/>
    <w:rsid w:val="1BA810E4"/>
    <w:rsid w:val="1CCB1CCC"/>
    <w:rsid w:val="1D3273A6"/>
    <w:rsid w:val="1E5A27FB"/>
    <w:rsid w:val="208211C5"/>
    <w:rsid w:val="214C6BAE"/>
    <w:rsid w:val="25983E4C"/>
    <w:rsid w:val="26CB73E3"/>
    <w:rsid w:val="27F72D6A"/>
    <w:rsid w:val="32B405F9"/>
    <w:rsid w:val="335F7687"/>
    <w:rsid w:val="3A994015"/>
    <w:rsid w:val="3E140910"/>
    <w:rsid w:val="42CE0C57"/>
    <w:rsid w:val="43A759DE"/>
    <w:rsid w:val="471A409C"/>
    <w:rsid w:val="48E42097"/>
    <w:rsid w:val="4ABE10D9"/>
    <w:rsid w:val="4ACD082B"/>
    <w:rsid w:val="4E034EB9"/>
    <w:rsid w:val="526F11BE"/>
    <w:rsid w:val="527F73DD"/>
    <w:rsid w:val="53B31B00"/>
    <w:rsid w:val="53D46318"/>
    <w:rsid w:val="55C30EEF"/>
    <w:rsid w:val="5A581238"/>
    <w:rsid w:val="5B8961E4"/>
    <w:rsid w:val="5BC37291"/>
    <w:rsid w:val="5DF95866"/>
    <w:rsid w:val="5F0F63C3"/>
    <w:rsid w:val="64D20AF0"/>
    <w:rsid w:val="67116CFA"/>
    <w:rsid w:val="67706460"/>
    <w:rsid w:val="6876537F"/>
    <w:rsid w:val="6ADE1368"/>
    <w:rsid w:val="6C901F13"/>
    <w:rsid w:val="6D260198"/>
    <w:rsid w:val="72712DDB"/>
    <w:rsid w:val="768D3A6A"/>
    <w:rsid w:val="775E1933"/>
    <w:rsid w:val="777B0924"/>
    <w:rsid w:val="78920AD2"/>
    <w:rsid w:val="7D6E7A51"/>
    <w:rsid w:val="7FC712A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numPr>
        <w:ilvl w:val="0"/>
        <w:numId w:val="1"/>
      </w:numPr>
      <w:pBdr>
        <w:bottom w:val="single" w:color="auto" w:sz="4" w:space="1"/>
      </w:pBdr>
      <w:spacing w:before="480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hAnsiTheme="majorHAnsi" w:eastAsiaTheme="majorEastAsia" w:cstheme="majorBidi"/>
      <w:b/>
      <w:bCs/>
      <w:sz w:val="26"/>
      <w:szCs w:val="26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hAnsiTheme="majorHAnsi" w:eastAsiaTheme="majorEastAsia" w:cstheme="majorBidi"/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20"/>
    <w:semiHidden/>
    <w:unhideWhenUsed/>
    <w:qFormat/>
    <w:uiPriority w:val="99"/>
    <w:rPr>
      <w:rFonts w:ascii="Lucida Grande" w:hAnsi="Lucida Grande"/>
      <w:sz w:val="18"/>
      <w:szCs w:val="18"/>
    </w:rPr>
  </w:style>
  <w:style w:type="paragraph" w:styleId="6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7">
    <w:name w:val="toc 2"/>
    <w:basedOn w:val="1"/>
    <w:next w:val="1"/>
    <w:autoRedefine/>
    <w:unhideWhenUsed/>
    <w:qFormat/>
    <w:uiPriority w:val="39"/>
    <w:pPr>
      <w:spacing w:after="100"/>
      <w:ind w:left="240"/>
    </w:pPr>
  </w:style>
  <w:style w:type="table" w:styleId="9">
    <w:name w:val="Table Professional"/>
    <w:basedOn w:val="8"/>
    <w:semiHidden/>
    <w:unhideWhenUsed/>
    <w:qFormat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10">
    <w:name w:val="Light List Accent 2"/>
    <w:basedOn w:val="8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character" w:customStyle="1" w:styleId="12">
    <w:name w:val="strong"/>
    <w:basedOn w:val="11"/>
    <w:qFormat/>
    <w:uiPriority w:val="1"/>
    <w:rPr>
      <w:b/>
    </w:rPr>
  </w:style>
  <w:style w:type="paragraph" w:customStyle="1" w:styleId="13">
    <w:name w:val="centered"/>
    <w:basedOn w:val="1"/>
    <w:qFormat/>
    <w:uiPriority w:val="0"/>
    <w:pPr>
      <w:jc w:val="center"/>
    </w:pPr>
  </w:style>
  <w:style w:type="table" w:customStyle="1" w:styleId="14">
    <w:name w:val="table_template"/>
    <w:basedOn w:val="8"/>
    <w:qFormat/>
    <w:uiPriority w:val="59"/>
    <w:pPr>
      <w:jc w:val="right"/>
    </w:pPr>
    <w:tblPr>
      <w:jc w:val="center"/>
      <w:tblBorders>
        <w:top w:val="single" w:color="auto" w:sz="8" w:space="0"/>
        <w:bottom w:val="single" w:color="auto" w:sz="8" w:space="0"/>
        <w:insideH w:val="single" w:color="auto" w:sz="8" w:space="0"/>
      </w:tblBorders>
    </w:tblPr>
    <w:trPr>
      <w:jc w:val="center"/>
    </w:trPr>
    <w:tblStylePr w:type="firstRow">
      <w:rPr>
        <w:b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5">
    <w:name w:val="Titre 1 Car"/>
    <w:basedOn w:val="11"/>
    <w:link w:val="2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6">
    <w:name w:val="Titre 2 Car"/>
    <w:basedOn w:val="11"/>
    <w:link w:val="3"/>
    <w:semiHidden/>
    <w:qFormat/>
    <w:uiPriority w:val="9"/>
    <w:rPr>
      <w:rFonts w:asciiTheme="majorHAnsi" w:hAnsiTheme="majorHAnsi" w:eastAsiaTheme="majorEastAsia" w:cstheme="majorBidi"/>
      <w:b/>
      <w:bCs/>
      <w:sz w:val="26"/>
      <w:szCs w:val="26"/>
    </w:rPr>
  </w:style>
  <w:style w:type="character" w:customStyle="1" w:styleId="17">
    <w:name w:val="Titre 3 Car"/>
    <w:basedOn w:val="11"/>
    <w:link w:val="4"/>
    <w:semiHidden/>
    <w:qFormat/>
    <w:uiPriority w:val="9"/>
    <w:rPr>
      <w:rFonts w:asciiTheme="majorHAnsi" w:hAnsiTheme="majorHAnsi" w:eastAsiaTheme="majorEastAsia" w:cstheme="majorBidi"/>
      <w:b/>
      <w:bCs/>
    </w:rPr>
  </w:style>
  <w:style w:type="paragraph" w:customStyle="1" w:styleId="18">
    <w:name w:val="Image Caption"/>
    <w:basedOn w:val="1"/>
    <w:qFormat/>
    <w:uiPriority w:val="0"/>
    <w:pPr>
      <w:jc w:val="center"/>
    </w:pPr>
    <w:rPr>
      <w:b/>
      <w:i/>
    </w:rPr>
  </w:style>
  <w:style w:type="paragraph" w:customStyle="1" w:styleId="19">
    <w:name w:val="Table Caption"/>
    <w:basedOn w:val="18"/>
    <w:qFormat/>
    <w:uiPriority w:val="0"/>
  </w:style>
  <w:style w:type="character" w:customStyle="1" w:styleId="20">
    <w:name w:val="Texte de bulles Car"/>
    <w:basedOn w:val="11"/>
    <w:link w:val="5"/>
    <w:semiHidden/>
    <w:qFormat/>
    <w:uiPriority w:val="99"/>
    <w:rPr>
      <w:rFonts w:ascii="Lucida Grande" w:hAnsi="Lucida Grande"/>
      <w:sz w:val="18"/>
      <w:szCs w:val="18"/>
    </w:rPr>
  </w:style>
  <w:style w:type="character" w:customStyle="1" w:styleId="21">
    <w:name w:val="reference_id"/>
    <w:basedOn w:val="11"/>
    <w:qFormat/>
    <w:uiPriority w:val="1"/>
    <w:rPr>
      <w:vertAlign w:val="superscript"/>
    </w:rPr>
  </w:style>
  <w:style w:type="paragraph" w:customStyle="1" w:styleId="22">
    <w:name w:val="graphic title"/>
    <w:basedOn w:val="18"/>
    <w:next w:val="1"/>
    <w:qFormat/>
    <w:uiPriority w:val="0"/>
  </w:style>
  <w:style w:type="paragraph" w:customStyle="1" w:styleId="23">
    <w:name w:val="table title"/>
    <w:basedOn w:val="19"/>
    <w:next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188</Words>
  <Characters>1261</Characters>
  <Lines>0</Lines>
  <Paragraphs>0</Paragraphs>
  <TotalTime>5</TotalTime>
  <ScaleCrop>false</ScaleCrop>
  <LinksUpToDate>false</LinksUpToDate>
  <CharactersWithSpaces>1366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2017-02-28T11:18:00Z</dcterms:created>
  <dc:creator>WPS_1615004398</dc:creator>
  <cp:lastModifiedBy>WPS_1615004398</cp:lastModifiedBy>
  <dcterms:modified xsi:type="dcterms:W3CDTF">2026-08-30T03:06:13Z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eyJoZGlkIjoiMDY2NWRhZGRiYTA0OGVlOTRjOTZiM2FiMmYzMzE2MWYiLCJ1c2VySWQiOiIxMTc3NjYzMDMzIn0=</vt:lpwstr>
  </property>
  <property fmtid="{D5CDD505-2E9C-101B-9397-08002B2CF9AE}" pid="3" name="KSOProductBuildVer">
    <vt:lpwstr>2052-12.1.0.28043</vt:lpwstr>
  </property>
  <property fmtid="{D5CDD505-2E9C-101B-9397-08002B2CF9AE}" pid="4" name="ICV">
    <vt:lpwstr>D3C33ADBA8054A1080E8DB75AC08BBA5_13</vt:lpwstr>
  </property>
</Properties>
</file>