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8B82A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 w:themeColor="dark1"/>
          <w:sz w:val="24"/>
          <w:szCs w:val="24"/>
          <w:u w:val="none"/>
          <w14:textFill>
            <w14:solidFill>
              <w14:schemeClr w14:val="dk1"/>
            </w14:solidFill>
          </w14:textFill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1</w:t>
      </w:r>
      <w:r>
        <w:rPr>
          <w:rFonts w:hint="eastAsia" w:ascii="Times New Roman" w:hAnsi="Times New Roman" w:cs="Times New Roman"/>
          <w:b/>
          <w:bCs/>
          <w:sz w:val="24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cs="Times New Roman"/>
          <w:b/>
          <w:bCs/>
          <w:sz w:val="24"/>
        </w:rPr>
        <w:t>. Second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round minimally adjusted Fine</w:t>
      </w:r>
      <w:r>
        <w:rPr>
          <w:rFonts w:hint="eastAsia" w:ascii="Times New Roman" w:hAnsi="Times New Roman" w:cs="Times New Roman"/>
          <w:sz w:val="24"/>
        </w:rPr>
        <w:t>-</w:t>
      </w:r>
      <w:r>
        <w:rPr>
          <w:rFonts w:hint="eastAsia" w:ascii="Times New Roman" w:hAnsi="Times New Roman" w:cs="Times New Roman"/>
          <w:b/>
          <w:bCs/>
          <w:sz w:val="24"/>
        </w:rPr>
        <w:t>Gray competing risks analysis of candidate variables for CIBC in patients with IDC.</w:t>
      </w:r>
    </w:p>
    <w:tbl>
      <w:tblPr>
        <w:tblStyle w:val="8"/>
        <w:tblW w:w="987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7"/>
        <w:gridCol w:w="2467"/>
        <w:gridCol w:w="2468"/>
        <w:gridCol w:w="2468"/>
      </w:tblGrid>
      <w:tr w14:paraId="46C56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D18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Variable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0B0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Level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098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s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14:textFill>
                  <w14:solidFill>
                    <w14:schemeClr w14:val="dk1"/>
                  </w14:solidFill>
                </w14:textFill>
              </w:rPr>
              <w:t>HR(95%CI)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41E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P</w:t>
            </w:r>
            <w:r>
              <w:rPr>
                <w:rFonts w:hint="default" w:ascii="Times New Roman" w:hAnsi="Times New Roman" w:eastAsia="Arial" w:cs="Times New Roman"/>
                <w:b w:val="0"/>
                <w:bCs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-</w:t>
            </w: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Value</w:t>
            </w:r>
          </w:p>
        </w:tc>
      </w:tr>
      <w:tr w14:paraId="02A83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8F3A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246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F6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I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724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62F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50EF0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601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96B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II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2E0E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1.04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0.98 - 1.10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71A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0.102</w:t>
            </w:r>
          </w:p>
        </w:tc>
      </w:tr>
      <w:tr w14:paraId="49C69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C52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897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III/IV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6B6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1.06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0.96 - 1.16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F5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0.158</w:t>
            </w:r>
          </w:p>
        </w:tc>
      </w:tr>
      <w:tr w14:paraId="3E8496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4A8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294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BB6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0.97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(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0.88 - 1.07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1706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0.312</w:t>
            </w:r>
          </w:p>
        </w:tc>
      </w:tr>
      <w:tr w14:paraId="4FB0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A3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432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CDD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F71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</w:tr>
      <w:tr w14:paraId="52D68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209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3FB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2C9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0.90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0.79 - 1.03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835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0.130</w:t>
            </w:r>
          </w:p>
        </w:tc>
      </w:tr>
      <w:tr w14:paraId="2B1244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231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E51D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Unknown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AFA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0.79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0.69 - 0.90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94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  <w:tr w14:paraId="7B75A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78D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24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E49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No/Unknown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8090C"/>
                <w:sz w:val="24"/>
                <w:szCs w:val="24"/>
                <w:u w:val="none"/>
              </w:rPr>
              <w:t>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88B3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1.00 (ref)</w:t>
            </w:r>
          </w:p>
        </w:tc>
        <w:tc>
          <w:tcPr>
            <w:tcW w:w="24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F92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</w:tr>
      <w:tr w14:paraId="4D95C0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67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C09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</w:p>
        </w:tc>
        <w:tc>
          <w:tcPr>
            <w:tcW w:w="246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56B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Yes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2E8B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0.94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(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0.90 - 0.97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)</w:t>
            </w:r>
          </w:p>
        </w:tc>
        <w:tc>
          <w:tcPr>
            <w:tcW w:w="246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F8C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 w:themeColor="text1"/>
                <w:sz w:val="24"/>
                <w:szCs w:val="24"/>
                <w:highlight w:val="none"/>
                <w:u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highlight w:val="none"/>
                <w:u w:val="none"/>
              </w:rPr>
              <w:t>&lt;0.001</w:t>
            </w:r>
          </w:p>
        </w:tc>
      </w:tr>
    </w:tbl>
    <w:p w14:paraId="0788EB5F">
      <w:pPr>
        <w:spacing w:line="360" w:lineRule="auto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</w:rPr>
        <w:t>Abbreviation: HR: hazard ratio; CI: confidence interval; ref: reference category; CIBC: contralateral invasive breast cancer; IDC: invasive ductal carcinoma.</w:t>
      </w:r>
    </w:p>
    <w:p w14:paraId="5504516B">
      <w:pPr>
        <w:pStyle w:val="3"/>
        <w:numPr>
          <w:ilvl w:val="1"/>
          <w:numId w:val="0"/>
        </w:numPr>
        <w:ind w:left="360" w:leftChars="0"/>
      </w:pPr>
    </w:p>
    <w:p w14:paraId="3D1D57BF"/>
    <w:sectPr>
      <w:type w:val="continuous"/>
      <w:pgSz w:w="11900" w:h="16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EF248D"/>
    <w:rsid w:val="03F808D3"/>
    <w:rsid w:val="1D86385F"/>
    <w:rsid w:val="32E97851"/>
    <w:rsid w:val="38B76B14"/>
    <w:rsid w:val="3A77502B"/>
    <w:rsid w:val="3CE1413B"/>
    <w:rsid w:val="47D53289"/>
    <w:rsid w:val="4A671843"/>
    <w:rsid w:val="4B5A1285"/>
    <w:rsid w:val="65C84DB8"/>
    <w:rsid w:val="6EAA54AC"/>
    <w:rsid w:val="790834A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526</Characters>
  <Lines>0</Lines>
  <Paragraphs>0</Paragraphs>
  <TotalTime>0</TotalTime>
  <ScaleCrop>false</ScaleCrop>
  <LinksUpToDate>false</LinksUpToDate>
  <CharactersWithSpaces>580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2026-08-29T12:41:21Z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0CB5C19EF0B24EE9891F33DE78FD36BC_12</vt:lpwstr>
  </property>
</Properties>
</file>