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B12EB0">
      <w:pPr>
        <w:spacing w:line="360" w:lineRule="auto"/>
        <w:rPr>
          <w:rFonts w:hint="eastAsia" w:asciiTheme="minorHAnsi" w:hAnsiTheme="minorHAnsi" w:eastAsiaTheme="minorEastAsia" w:cstheme="minorBidi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b/>
          <w:bCs/>
          <w:sz w:val="24"/>
        </w:rPr>
        <w:t>Supplementary Table 1</w:t>
      </w:r>
      <w:r>
        <w:rPr>
          <w:rFonts w:hint="eastAsia" w:ascii="Times New Roman" w:hAnsi="Times New Roman" w:cs="Times New Roman"/>
          <w:b/>
          <w:bCs/>
          <w:sz w:val="24"/>
          <w:lang w:val="en-US" w:eastAsia="zh-CN"/>
        </w:rPr>
        <w:t>7</w:t>
      </w:r>
      <w:bookmarkStart w:id="0" w:name="_GoBack"/>
      <w:bookmarkEnd w:id="0"/>
      <w:r>
        <w:rPr>
          <w:rFonts w:hint="eastAsia" w:ascii="Times New Roman" w:hAnsi="Times New Roman" w:cs="Times New Roman"/>
          <w:b/>
          <w:bCs/>
          <w:sz w:val="24"/>
        </w:rPr>
        <w:t>. PSH assumption test results for variables in the final model in patients with IDC.</w:t>
      </w:r>
    </w:p>
    <w:tbl>
      <w:tblPr>
        <w:tblStyle w:val="2"/>
        <w:tblW w:w="987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9"/>
        <w:gridCol w:w="2735"/>
        <w:gridCol w:w="2468"/>
        <w:gridCol w:w="2468"/>
      </w:tblGrid>
      <w:tr w14:paraId="223D21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99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49D7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strike w:val="0"/>
                <w:color w:val="000000"/>
                <w:sz w:val="24"/>
                <w:szCs w:val="24"/>
                <w:u w:val="none"/>
              </w:rPr>
              <w:t>Variable</w:t>
            </w:r>
          </w:p>
        </w:tc>
        <w:tc>
          <w:tcPr>
            <w:tcW w:w="273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766C5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 w:themeColor="dark1"/>
                <w:sz w:val="24"/>
                <w:szCs w:val="24"/>
                <w:u w:val="none"/>
                <w14:textFill>
                  <w14:solidFill>
                    <w14:schemeClr w14:val="dk1"/>
                  </w14:solidFill>
                </w14:textFill>
              </w:rPr>
              <w:t>Level</w:t>
            </w:r>
          </w:p>
        </w:tc>
        <w:tc>
          <w:tcPr>
            <w:tcW w:w="2468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4FC44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strike w:val="0"/>
                <w:color w:val="000000"/>
                <w:sz w:val="24"/>
                <w:szCs w:val="24"/>
                <w:u w:val="none"/>
              </w:rPr>
              <w:t>KS P-value</w:t>
            </w:r>
          </w:p>
        </w:tc>
        <w:tc>
          <w:tcPr>
            <w:tcW w:w="2468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8D70C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strike w:val="0"/>
                <w:color w:val="000000"/>
                <w:sz w:val="24"/>
                <w:szCs w:val="24"/>
                <w:u w:val="none"/>
              </w:rPr>
              <w:t>CvM P-value</w:t>
            </w:r>
          </w:p>
        </w:tc>
      </w:tr>
      <w:tr w14:paraId="3C77A4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99" w:type="dxa"/>
            <w:vMerge w:val="restar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5A654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Age</w:t>
            </w:r>
          </w:p>
        </w:tc>
        <w:tc>
          <w:tcPr>
            <w:tcW w:w="2735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B5177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≤50 (ref)</w:t>
            </w:r>
          </w:p>
        </w:tc>
        <w:tc>
          <w:tcPr>
            <w:tcW w:w="2468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5FD6A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1.00 (ref)</w:t>
            </w:r>
          </w:p>
        </w:tc>
        <w:tc>
          <w:tcPr>
            <w:tcW w:w="2468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1CA3F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</w:tc>
      </w:tr>
      <w:tr w14:paraId="0AD5DD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99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E1229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7FA37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51-60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891BE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0.280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AC087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0.160</w:t>
            </w:r>
          </w:p>
        </w:tc>
      </w:tr>
      <w:tr w14:paraId="55B7A5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99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933D5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3CDBC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61-70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14368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highlight w:val="none"/>
                <w:u w:val="none"/>
              </w:rPr>
              <w:t>&lt;0.001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D7025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highlight w:val="none"/>
                <w:u w:val="none"/>
              </w:rPr>
              <w:t>&lt;0.001</w:t>
            </w:r>
          </w:p>
        </w:tc>
      </w:tr>
      <w:tr w14:paraId="123EE4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99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E7DCD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180E1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≥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7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1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B1443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highlight w:val="none"/>
                <w:u w:val="none"/>
              </w:rPr>
              <w:t>&lt;0.001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476A0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highlight w:val="none"/>
                <w:u w:val="none"/>
              </w:rPr>
              <w:t>&lt;0.001</w:t>
            </w:r>
          </w:p>
        </w:tc>
      </w:tr>
      <w:tr w14:paraId="454423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99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09865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  <w:t>Hormone Receptor Status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4DCCD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HR</w:t>
            </w:r>
            <w:r>
              <w:rPr>
                <w:rFonts w:hint="default" w:ascii="Times New Roman" w:hAnsi="Times New Roman" w:eastAsia="Arial" w:cs="Times New Roman"/>
                <w:b w:val="0"/>
                <w:bCs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-</w:t>
            </w:r>
            <w:r>
              <w:rPr>
                <w:rFonts w:hint="default" w:ascii="Times New Roman" w:hAnsi="Times New Roman" w:eastAsia="Arial" w:cs="Times New Roman"/>
                <w:b/>
                <w:bCs w:val="0"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 xml:space="preserve"> (ref)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50A7D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1.00 (ref)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D0420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 w14:paraId="32429A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99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B0C0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26664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HR+ (ER+/PR+)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FB326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0.320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9F8BB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0.120</w:t>
            </w:r>
          </w:p>
        </w:tc>
      </w:tr>
      <w:tr w14:paraId="615F1D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99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70147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AA79C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HR+ (Other)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DC0E1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0.290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3ADF0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0.140</w:t>
            </w:r>
          </w:p>
        </w:tc>
      </w:tr>
      <w:tr w14:paraId="58D87D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99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1ED1E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5CAA9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HR Equivocal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FB538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0.250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2851C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0.080</w:t>
            </w:r>
          </w:p>
        </w:tc>
      </w:tr>
      <w:tr w14:paraId="3D7325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99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42E00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  <w:t>Tumor Size Group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E8C4A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  <w:t xml:space="preserve">≤2cm </w:t>
            </w:r>
            <w:r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(ref)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AB5BF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1.00 (ref)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5945A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</w:tc>
      </w:tr>
      <w:tr w14:paraId="34AADD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99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D9FF0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B4259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2-5cm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40995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0.170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1C743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0.0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6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</w:t>
            </w:r>
          </w:p>
        </w:tc>
      </w:tr>
      <w:tr w14:paraId="3BAD17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99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7ADBF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7A806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highlight w:val="none"/>
                <w:u w:val="none"/>
              </w:rPr>
              <w:t>&gt;5cm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C356B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highlight w:val="none"/>
                <w:u w:val="none"/>
              </w:rPr>
              <w:t>&lt;0.001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DA9F3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highlight w:val="none"/>
                <w:u w:val="none"/>
              </w:rPr>
              <w:t>&lt;0.001</w:t>
            </w:r>
          </w:p>
        </w:tc>
      </w:tr>
      <w:tr w14:paraId="0BDE34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99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3FCC8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7362B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Unknown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AEB58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&lt;0.001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18F2F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&lt;0.001</w:t>
            </w:r>
          </w:p>
        </w:tc>
      </w:tr>
      <w:tr w14:paraId="22DA77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99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76B7E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  <w:t>Surgery Type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7B9F9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  <w:t>Lumpectomy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(ref)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EAE54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1.00 (ref)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8E14F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 w14:paraId="27F345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99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4B2B4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C73AE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Radical Mastectomy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DB3F6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0.300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2B456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0.1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6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0</w:t>
            </w:r>
          </w:p>
        </w:tc>
      </w:tr>
      <w:tr w14:paraId="439348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99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EFA56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984BD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Mastectomy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A0FC5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0.270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548EA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0.1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5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0</w:t>
            </w:r>
          </w:p>
        </w:tc>
      </w:tr>
      <w:tr w14:paraId="49C37A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99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1CC63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  <w:t>Lymph Node Stage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71F53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 xml:space="preserve">N0 </w:t>
            </w: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8090C"/>
                <w:sz w:val="24"/>
                <w:szCs w:val="24"/>
                <w:u w:val="none"/>
              </w:rPr>
              <w:t>(ref)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15341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1.00 (ref)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8E4AD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 w14:paraId="048A75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99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EAE95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5092C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N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5CB86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0.2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7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F8FF7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0.110</w:t>
            </w:r>
          </w:p>
        </w:tc>
      </w:tr>
      <w:tr w14:paraId="06A20B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99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7C4C7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80861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  <w:t>N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highlight w:val="none"/>
                <w:u w:val="none"/>
              </w:rPr>
              <w:t>2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71BFD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highlight w:val="none"/>
                <w:u w:val="none"/>
              </w:rPr>
              <w:t>&lt;0.001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51897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highlight w:val="none"/>
                <w:u w:val="none"/>
              </w:rPr>
              <w:t>&lt;0.001</w:t>
            </w:r>
          </w:p>
        </w:tc>
      </w:tr>
      <w:tr w14:paraId="3FC4F6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99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87343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2AADF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  <w:t>N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highlight w:val="none"/>
                <w:u w:val="none"/>
              </w:rPr>
              <w:t>3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174DE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highlight w:val="none"/>
                <w:u w:val="none"/>
              </w:rPr>
              <w:t>&lt;0.001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D081D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highlight w:val="none"/>
                <w:u w:val="none"/>
              </w:rPr>
              <w:t>&lt;0.001</w:t>
            </w:r>
          </w:p>
        </w:tc>
      </w:tr>
      <w:tr w14:paraId="52230B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99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ABDBF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  <w:t>Radiation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1E7E0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  <w:t>NO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8090C"/>
                <w:sz w:val="24"/>
                <w:szCs w:val="24"/>
                <w:u w:val="none"/>
              </w:rPr>
              <w:t>(ref)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06F29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1.00 (ref)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23C1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</w:p>
        </w:tc>
      </w:tr>
      <w:tr w14:paraId="60A482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99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9ADDC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2C000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highlight w:val="none"/>
                <w:u w:val="none"/>
              </w:rPr>
              <w:t>YES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D1BDB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highlight w:val="none"/>
                <w:u w:val="none"/>
              </w:rPr>
              <w:t>&lt;0.001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6BFA1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highlight w:val="none"/>
                <w:u w:val="none"/>
              </w:rPr>
              <w:t>&lt;0.001</w:t>
            </w:r>
          </w:p>
        </w:tc>
      </w:tr>
      <w:tr w14:paraId="121C0C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99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67BC7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29406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highlight w:val="none"/>
                <w:u w:val="none"/>
              </w:rPr>
              <w:t>Unknown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CED7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highlight w:val="none"/>
                <w:u w:val="none"/>
              </w:rPr>
              <w:t>0.010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C631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highlight w:val="none"/>
                <w:u w:val="none"/>
              </w:rPr>
              <w:t>&lt;0.001</w:t>
            </w:r>
          </w:p>
        </w:tc>
      </w:tr>
      <w:tr w14:paraId="7BFC37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99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24450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  <w:t>Chemotherapy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B6BFA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  <w:t>No/Unknown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8090C"/>
                <w:sz w:val="24"/>
                <w:szCs w:val="24"/>
                <w:u w:val="none"/>
              </w:rPr>
              <w:t>(ref)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7C032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1.00 (ref)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C1CAE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</w:tc>
      </w:tr>
      <w:tr w14:paraId="45C4BA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99" w:type="dxa"/>
            <w:vMerge w:val="continue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512ED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735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08C72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Yes</w:t>
            </w:r>
          </w:p>
        </w:tc>
        <w:tc>
          <w:tcPr>
            <w:tcW w:w="2468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2AE5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0.170</w:t>
            </w:r>
          </w:p>
        </w:tc>
        <w:tc>
          <w:tcPr>
            <w:tcW w:w="2468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5D615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0.070</w:t>
            </w:r>
          </w:p>
        </w:tc>
      </w:tr>
    </w:tbl>
    <w:p w14:paraId="5F6AF21F">
      <w:pPr>
        <w:spacing w:line="360" w:lineRule="auto"/>
        <w:rPr>
          <w:rFonts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t>Abbreviation: PSH: proportional subdistribution hazard; IDC: invasive ductal carcinoma; ref: reference category; HR-: ER-negative and PR-negative; HR+ (ER+/PR+): ER-positive and PR-positive; HR+ (Other), positive for either ER or PR, but not both; HR</w:t>
      </w:r>
      <w:r>
        <w:rPr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Equivocal</w:t>
      </w:r>
      <w:r>
        <w:rPr>
          <w:rFonts w:hint="eastAsia" w:ascii="Times New Roman" w:hAnsi="Times New Roman" w:cs="Times New Roman"/>
          <w:sz w:val="21"/>
          <w:szCs w:val="21"/>
        </w:rPr>
        <w:t xml:space="preserve"> neither ER nor PR was positive, with at least one being borderline or unknown; N0: lymph node metastasis stage N0; N1: lymph node metastasis stage N1; N2: lymph node metastasis stage N2; N3: lymph node metastasis stage N3. </w:t>
      </w:r>
    </w:p>
    <w:p w14:paraId="23470008">
      <w:pPr>
        <w:tabs>
          <w:tab w:val="left" w:pos="1719"/>
        </w:tabs>
        <w:bidi w:val="0"/>
        <w:jc w:val="left"/>
        <w:rPr>
          <w:rFonts w:hint="default" w:asciiTheme="minorHAnsi" w:hAnsiTheme="minorHAnsi" w:eastAsiaTheme="minorEastAsia" w:cstheme="minorBidi"/>
          <w:sz w:val="24"/>
          <w:szCs w:val="24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D72183"/>
    <w:rsid w:val="0F9F6878"/>
    <w:rsid w:val="14CD5805"/>
    <w:rsid w:val="2B044023"/>
    <w:rsid w:val="2F6249F1"/>
    <w:rsid w:val="311F5C49"/>
    <w:rsid w:val="316434D6"/>
    <w:rsid w:val="358C6916"/>
    <w:rsid w:val="36863EC1"/>
    <w:rsid w:val="3C0E3205"/>
    <w:rsid w:val="3C8374CE"/>
    <w:rsid w:val="45BC7243"/>
    <w:rsid w:val="4BCB456E"/>
    <w:rsid w:val="517805BE"/>
    <w:rsid w:val="59F56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192</Words>
  <Characters>1043</Characters>
  <Lines>0</Lines>
  <Paragraphs>0</Paragraphs>
  <TotalTime>0</TotalTime>
  <ScaleCrop>false</ScaleCrop>
  <LinksUpToDate>false</LinksUpToDate>
  <CharactersWithSpaces>1158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2026-05-14T11:53:00Z</dcterms:created>
  <dc:creator>guo</dc:creator>
  <cp:lastModifiedBy>WPS_1615004398</cp:lastModifiedBy>
  <dcterms:modified xsi:type="dcterms:W3CDTF">2026-08-29T12:41:40Z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eyJoZGlkIjoiMDY2NWRhZGRiYTA0OGVlOTRjOTZiM2FiMmYzMzE2MWYiLCJ1c2VySWQiOiIxMTc3NjYzMDMzIn0=</vt:lpwstr>
  </property>
  <property fmtid="{D5CDD505-2E9C-101B-9397-08002B2CF9AE}" pid="4" name="ICV">
    <vt:lpwstr>87575CA14C574F35B9CD7339690CDDF8_12</vt:lpwstr>
  </property>
</Properties>
</file>