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1A08CF">
      <w:pPr>
        <w:spacing w:line="360" w:lineRule="auto"/>
      </w:pPr>
      <w:r>
        <w:rPr>
          <w:rFonts w:hint="eastAsia" w:ascii="Times New Roman" w:hAnsi="Times New Roman" w:cs="Times New Roman"/>
          <w:b/>
          <w:bCs/>
          <w:sz w:val="24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lang w:val="en-US" w:eastAsia="zh-CN"/>
        </w:rPr>
        <w:t>8</w:t>
      </w:r>
      <w:r>
        <w:rPr>
          <w:rFonts w:hint="eastAsia" w:ascii="Times New Roman" w:hAnsi="Times New Roman" w:cs="Times New Roman"/>
          <w:b/>
          <w:bCs/>
          <w:sz w:val="24"/>
        </w:rPr>
        <w:t>. Fixed</w:t>
      </w:r>
      <w:r>
        <w:rPr>
          <w:rFonts w:hint="eastAsia" w:ascii="Times New Roman" w:hAnsi="Times New Roman" w:cs="Times New Roman"/>
          <w:sz w:val="24"/>
        </w:rPr>
        <w:t>-</w:t>
      </w:r>
      <w:r>
        <w:rPr>
          <w:rFonts w:hint="eastAsia" w:ascii="Times New Roman" w:hAnsi="Times New Roman" w:cs="Times New Roman"/>
          <w:b/>
          <w:bCs/>
          <w:sz w:val="24"/>
        </w:rPr>
        <w:t>effect Fine</w:t>
      </w:r>
      <w:r>
        <w:rPr>
          <w:rFonts w:hint="eastAsia" w:ascii="Times New Roman" w:hAnsi="Times New Roman" w:cs="Times New Roman"/>
          <w:sz w:val="24"/>
        </w:rPr>
        <w:t>-</w:t>
      </w:r>
      <w:r>
        <w:rPr>
          <w:rFonts w:hint="eastAsia" w:ascii="Times New Roman" w:hAnsi="Times New Roman" w:cs="Times New Roman"/>
          <w:b/>
          <w:bCs/>
          <w:sz w:val="24"/>
        </w:rPr>
        <w:t>Gray competing risks analysis of CIBC risk factors in patients with IDC.</w:t>
      </w:r>
    </w:p>
    <w:tbl>
      <w:tblPr>
        <w:tblStyle w:val="8"/>
        <w:tblW w:w="987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6"/>
        <w:gridCol w:w="2151"/>
        <w:gridCol w:w="1704"/>
        <w:gridCol w:w="1974"/>
        <w:gridCol w:w="1975"/>
      </w:tblGrid>
      <w:tr w14:paraId="7F1289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B527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Variable</w:t>
            </w:r>
          </w:p>
        </w:tc>
        <w:tc>
          <w:tcPr>
            <w:tcW w:w="215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BE9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  <w:t>Level</w:t>
            </w:r>
          </w:p>
        </w:tc>
        <w:tc>
          <w:tcPr>
            <w:tcW w:w="170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5094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  <w:t>HR</w:t>
            </w:r>
          </w:p>
        </w:tc>
        <w:tc>
          <w:tcPr>
            <w:tcW w:w="19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990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  <w:t>P-value</w:t>
            </w:r>
          </w:p>
        </w:tc>
        <w:tc>
          <w:tcPr>
            <w:tcW w:w="197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293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 w:val="0"/>
                <w:i w:val="0"/>
                <w:color w:val="000000"/>
                <w:sz w:val="24"/>
                <w:szCs w:val="24"/>
                <w:u w:val="none"/>
              </w:rPr>
              <w:t>95% CI</w:t>
            </w:r>
          </w:p>
        </w:tc>
      </w:tr>
      <w:tr w14:paraId="4FCEE3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031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Age</w:t>
            </w: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vertAlign w:val="superscript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</w:t>
            </w:r>
          </w:p>
        </w:tc>
        <w:tc>
          <w:tcPr>
            <w:tcW w:w="215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C24B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≤50 (ref)</w:t>
            </w:r>
          </w:p>
        </w:tc>
        <w:tc>
          <w:tcPr>
            <w:tcW w:w="170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E01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25E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E2C3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0A489F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1CD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A355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7512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1.06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411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0.012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8D0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1.01 - 1.10</w:t>
            </w:r>
          </w:p>
        </w:tc>
      </w:tr>
      <w:tr w14:paraId="20FF89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683A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6FE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DE3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1.08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7C63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0E7C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1.03 - 1.13</w:t>
            </w:r>
          </w:p>
        </w:tc>
      </w:tr>
      <w:tr w14:paraId="71E72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8E03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1E9E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≥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7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009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0.82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599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10FE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0.78 - 0.87</w:t>
            </w:r>
          </w:p>
        </w:tc>
      </w:tr>
      <w:tr w14:paraId="5AEA2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7D2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Hormone receptor status</w:t>
            </w:r>
            <w:r>
              <w:rPr>
                <w:rFonts w:hint="eastAsia" w:ascii="Times New Roman" w:hAnsi="Times New Roman" w:eastAsia="宋体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1E1C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HR-(ref)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11F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EADB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75E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23324B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9AE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en-US" w:bidi="ar-SA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121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(ER+/PR+)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1E5F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0.75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E56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00F3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0.72 - 0.78</w:t>
            </w:r>
          </w:p>
        </w:tc>
      </w:tr>
      <w:tr w14:paraId="5191FA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35B6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AA77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(Other)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F75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0.73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E25E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507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0.69 - 0.78</w:t>
            </w:r>
          </w:p>
        </w:tc>
      </w:tr>
      <w:tr w14:paraId="0D2A85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9EE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616D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 Equivocal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441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0.85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280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123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0.79 - 0.91</w:t>
            </w:r>
          </w:p>
        </w:tc>
      </w:tr>
      <w:tr w14:paraId="7FA869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064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Grade</w:t>
            </w:r>
            <w:r>
              <w:rPr>
                <w:rFonts w:hint="eastAsia" w:ascii="Times New Roman" w:hAnsi="Times New Roman" w:eastAsia="宋体" w:cs="Times New Roman"/>
                <w:b/>
                <w:bCs w:val="0"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68F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3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I 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D293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7685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8E33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5C609A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2C45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D68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Ⅱ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0BBE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1.04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5FB0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0.102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7AB3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0.98 - 1.10</w:t>
            </w:r>
          </w:p>
        </w:tc>
      </w:tr>
      <w:tr w14:paraId="57DB5E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24F1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8ED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Ⅲ/Ⅳ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6B53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1.06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FA21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0.158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578F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0.96 - 1.16</w:t>
            </w:r>
          </w:p>
        </w:tc>
      </w:tr>
      <w:tr w14:paraId="3D3798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BBD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DF94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</w:rPr>
              <w:t>Unknown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E21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0.97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6E1B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0.312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6B1F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0.88 - 1.07</w:t>
            </w:r>
          </w:p>
        </w:tc>
      </w:tr>
      <w:tr w14:paraId="549838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757B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6538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3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 xml:space="preserve">≤2cm </w:t>
            </w: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548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133D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4D15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519C17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865D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589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2-5cm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272B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0.99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13B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0.700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111C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0.95 - 1.03</w:t>
            </w:r>
          </w:p>
        </w:tc>
      </w:tr>
      <w:tr w14:paraId="1B8B06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358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E004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i w:val="0"/>
                <w:color w:val="08090C"/>
                <w:sz w:val="24"/>
                <w:szCs w:val="24"/>
                <w:u w:val="none"/>
                <w:lang w:val="en-US" w:eastAsia="zh-CN"/>
              </w:rPr>
              <w:t>&gt;5cm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32E0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1.20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2CB9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469E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1.10 - 1.30</w:t>
            </w:r>
          </w:p>
        </w:tc>
      </w:tr>
      <w:tr w14:paraId="4D4546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E8EC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9E59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 w:themeColor="text1"/>
                <w:sz w:val="24"/>
                <w:szCs w:val="24"/>
                <w:highlight w:val="none"/>
                <w:u w:val="none"/>
                <w14:textFill>
                  <w14:solidFill>
                    <w14:schemeClr w14:val="tx1"/>
                  </w14:solidFill>
                </w14:textFill>
              </w:rPr>
              <w:t>Unknown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10D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1.37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BAB8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0.009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50E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1.08 - 1.73</w:t>
            </w:r>
          </w:p>
        </w:tc>
      </w:tr>
      <w:tr w14:paraId="30651F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8B7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Lymph Node Stage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5AC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N0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FB8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4368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6B3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249C88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88AC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633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N1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A316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0.93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4FDF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4B9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0.89 - 0.97</w:t>
            </w:r>
          </w:p>
        </w:tc>
      </w:tr>
      <w:tr w14:paraId="639BC9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9C7B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5DF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6F6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0.81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6C6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40C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0.75 - 0.88</w:t>
            </w:r>
          </w:p>
        </w:tc>
      </w:tr>
      <w:tr w14:paraId="18330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5E0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C118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037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0.91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1E8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0.074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F046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0.82 - 1.01</w:t>
            </w:r>
          </w:p>
        </w:tc>
      </w:tr>
      <w:tr w14:paraId="49018A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BB88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Surgery Type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84D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Lumpectomy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A28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CDC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193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25D4C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BBA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4C5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Radical Mastectomy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DEE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1.02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058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0.470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6397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0.97 - 1.07</w:t>
            </w:r>
          </w:p>
        </w:tc>
      </w:tr>
      <w:tr w14:paraId="2F752D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6B9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D77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Mastectomy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BB0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0.99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35B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0.800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13B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0.94 - 1.05</w:t>
            </w:r>
          </w:p>
        </w:tc>
      </w:tr>
      <w:tr w14:paraId="53DBDF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A43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Radiation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8090C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F88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NO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FCBA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A4C5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4C48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04F382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A997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5B7E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FBC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0.92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5C4B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0.220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0E2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0.80 - 1.05</w:t>
            </w:r>
          </w:p>
        </w:tc>
      </w:tr>
      <w:tr w14:paraId="135AA9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CDB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40E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D3FB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0.79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2B25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E0B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0.69 - 0.91</w:t>
            </w:r>
          </w:p>
        </w:tc>
      </w:tr>
      <w:tr w14:paraId="0EEF14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434E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Chemotherapy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E81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No/Unknown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8090C"/>
                <w:sz w:val="24"/>
                <w:szCs w:val="24"/>
                <w:u w:val="none"/>
              </w:rPr>
              <w:t>(ref)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826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1.00 (ref)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6D1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B4D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</w:tr>
      <w:tr w14:paraId="2E3C8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66" w:type="dxa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C54A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25B6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6E15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0.92</w:t>
            </w:r>
          </w:p>
        </w:tc>
        <w:tc>
          <w:tcPr>
            <w:tcW w:w="197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B8AE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&lt;0.001</w:t>
            </w:r>
          </w:p>
        </w:tc>
        <w:tc>
          <w:tcPr>
            <w:tcW w:w="197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9FD0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0.88 - 0.96</w:t>
            </w:r>
          </w:p>
        </w:tc>
      </w:tr>
    </w:tbl>
    <w:p w14:paraId="73FAEF73">
      <w:pPr>
        <w:widowControl/>
        <w:suppressAutoHyphens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hint="eastAsia" w:ascii="Times New Roman" w:hAnsi="Times New Roman" w:cs="Times New Roman"/>
          <w:sz w:val="21"/>
          <w:szCs w:val="21"/>
        </w:rPr>
        <w:t>Abbreviation: HR: hazard ratio; CI: confidence interval; ref: reference category; CIBC: contralateral invasive breast cancer; IDC: invasive ductal carcinoma; ref: reference category; HR-: ER-negative and PR-negative; HR+ (ER+/PR+), ER-positive and PR-positive; HR+ (Other), positive for either ER or PR, but not both; HR</w:t>
      </w:r>
      <w:r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Equivocal</w:t>
      </w:r>
      <w:r>
        <w:rPr>
          <w:rFonts w:hint="eastAsia" w:ascii="Times New Roman" w:hAnsi="Times New Roman" w:cs="Times New Roman"/>
          <w:sz w:val="21"/>
          <w:szCs w:val="21"/>
        </w:rPr>
        <w:t>: neither ER nor PR was positive, with at least one being borderline or unknown; N0: lymph node metastasis stage N0; N1: lymph node metastasis stage N1; N2: lymph node metastasis stage N2; N3: lymph node metastasis stage N3.</w:t>
      </w:r>
    </w:p>
    <w:p w14:paraId="0CB2879D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cs="Times New Roman"/>
          <w:szCs w:val="21"/>
          <w:lang w:val="en-US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Notes: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Results from the second-round minimally-adjusted Fine-Gray competing-risks model.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Final multivariable Fine-Gray competing-risks model.</w:t>
      </w:r>
      <w:bookmarkStart w:id="0" w:name="_GoBack"/>
      <w:bookmarkEnd w:id="0"/>
    </w:p>
    <w:p w14:paraId="76E1503D"/>
    <w:sectPr>
      <w:type w:val="continuous"/>
      <w:pgSz w:w="11900" w:h="16840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Lucida Grande">
    <w:altName w:val="Courier New"/>
    <w:panose1 w:val="020B0600040502020204"/>
    <w:charset w:val="00"/>
    <w:family w:val="auto"/>
    <w:pitch w:val="default"/>
    <w:sig w:usb0="00000000" w:usb1="00000000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@宋体">
    <w:panose1 w:val="02010600030101010101"/>
    <w:charset w:val="86"/>
    <w:family w:val="auto"/>
    <w:pitch w:val="variable"/>
    <w:sig w:usb0="00000203" w:usb1="288F0000" w:usb2="0000000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E925FD"/>
    <w:multiLevelType w:val="multilevel"/>
    <w:tmpl w:val="07E925FD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3"/>
      <w:lvlText w:val="%1.%2."/>
      <w:lvlJc w:val="left"/>
      <w:pPr>
        <w:ind w:left="792" w:hanging="432"/>
      </w:pPr>
    </w:lvl>
    <w:lvl w:ilvl="2" w:tentative="0">
      <w:start w:val="1"/>
      <w:numFmt w:val="decimal"/>
      <w:pStyle w:val="4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1"/>
  <w:bordersDoNotSurroundFooter w:val="1"/>
  <w:documentProtection w:enforcement="0"/>
  <w:defaultTabStop w:val="708"/>
  <w:hyphenationZone w:val="425"/>
  <w:displayHorizontalDrawingGridEvery w:val="0"/>
  <w:displayVerticalDrawingGridEvery w:val="2"/>
  <w:compat>
    <w:balanceSingleByteDoubleByteWidth/>
    <w:doNotExpandShiftReturn/>
    <w:adjustLineHeightInTable/>
    <w:useFELayout/>
    <w:compatSetting w:name="compatibilityMode" w:uri="http://schemas.microsoft.com/office/word" w:val="15"/>
  </w:compat>
  <w:rsids>
    <w:rsidRoot w:val="00000000"/>
    <w:rsid w:val="128B586F"/>
    <w:rsid w:val="21236A74"/>
    <w:rsid w:val="28111003"/>
    <w:rsid w:val="39123F08"/>
    <w:rsid w:val="3CBF0000"/>
    <w:rsid w:val="42883E26"/>
    <w:rsid w:val="565212DD"/>
    <w:rsid w:val="64FA0737"/>
    <w:rsid w:val="67CB3D49"/>
    <w:rsid w:val="76463FE5"/>
    <w:rsid w:val="7B9A54DE"/>
    <w:rsid w:val="7FC9629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numPr>
        <w:ilvl w:val="0"/>
        <w:numId w:val="1"/>
      </w:numPr>
      <w:pBdr>
        <w:bottom w:val="single" w:color="auto" w:sz="4" w:space="1"/>
      </w:pBdr>
      <w:spacing w:before="480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hAnsiTheme="majorHAnsi" w:eastAsiaTheme="majorEastAsia" w:cstheme="majorBidi"/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20"/>
    <w:semiHidden/>
    <w:unhideWhenUsed/>
    <w:qFormat/>
    <w:uiPriority w:val="99"/>
    <w:rPr>
      <w:rFonts w:ascii="Lucida Grande" w:hAnsi="Lucida Grande"/>
      <w:sz w:val="18"/>
      <w:szCs w:val="18"/>
    </w:rPr>
  </w:style>
  <w:style w:type="paragraph" w:styleId="6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7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table" w:styleId="9">
    <w:name w:val="Table Professional"/>
    <w:basedOn w:val="8"/>
    <w:semiHidden/>
    <w:unhideWhenUsed/>
    <w:qFormat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10">
    <w:name w:val="Light List Accent 2"/>
    <w:basedOn w:val="8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customStyle="1" w:styleId="12">
    <w:name w:val="strong"/>
    <w:basedOn w:val="11"/>
    <w:qFormat/>
    <w:uiPriority w:val="1"/>
    <w:rPr>
      <w:b/>
    </w:rPr>
  </w:style>
  <w:style w:type="paragraph" w:customStyle="1" w:styleId="13">
    <w:name w:val="centered"/>
    <w:basedOn w:val="1"/>
    <w:qFormat/>
    <w:uiPriority w:val="0"/>
    <w:pPr>
      <w:jc w:val="center"/>
    </w:pPr>
  </w:style>
  <w:style w:type="table" w:customStyle="1" w:styleId="14">
    <w:name w:val="table_template"/>
    <w:basedOn w:val="8"/>
    <w:qFormat/>
    <w:uiPriority w:val="59"/>
    <w:pPr>
      <w:jc w:val="right"/>
    </w:pPr>
    <w:tblPr>
      <w:jc w:val="center"/>
      <w:tblBorders>
        <w:top w:val="single" w:color="auto" w:sz="8" w:space="0"/>
        <w:bottom w:val="single" w:color="auto" w:sz="8" w:space="0"/>
        <w:insideH w:val="single" w:color="auto" w:sz="8" w:space="0"/>
      </w:tblBorders>
    </w:tblPr>
    <w:trPr>
      <w:jc w:val="center"/>
    </w:trPr>
    <w:tblStylePr w:type="firstRow">
      <w:rPr>
        <w:b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">
    <w:name w:val="Titre 1 Car"/>
    <w:basedOn w:val="11"/>
    <w:link w:val="2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6">
    <w:name w:val="Titre 2 Car"/>
    <w:basedOn w:val="11"/>
    <w:link w:val="3"/>
    <w:semiHidden/>
    <w:qFormat/>
    <w:uiPriority w:val="9"/>
    <w:rPr>
      <w:rFonts w:asciiTheme="majorHAnsi" w:hAnsiTheme="majorHAnsi" w:eastAsiaTheme="majorEastAsia" w:cstheme="majorBidi"/>
      <w:b/>
      <w:bCs/>
      <w:sz w:val="26"/>
      <w:szCs w:val="26"/>
    </w:rPr>
  </w:style>
  <w:style w:type="character" w:customStyle="1" w:styleId="17">
    <w:name w:val="Titre 3 Car"/>
    <w:basedOn w:val="11"/>
    <w:link w:val="4"/>
    <w:semiHidden/>
    <w:qFormat/>
    <w:uiPriority w:val="9"/>
    <w:rPr>
      <w:rFonts w:asciiTheme="majorHAnsi" w:hAnsiTheme="majorHAnsi" w:eastAsiaTheme="majorEastAsia" w:cstheme="majorBidi"/>
      <w:b/>
      <w:bCs/>
    </w:rPr>
  </w:style>
  <w:style w:type="paragraph" w:customStyle="1" w:styleId="18">
    <w:name w:val="Image Caption"/>
    <w:basedOn w:val="1"/>
    <w:qFormat/>
    <w:uiPriority w:val="0"/>
    <w:pPr>
      <w:jc w:val="center"/>
    </w:pPr>
    <w:rPr>
      <w:b/>
      <w:i/>
    </w:rPr>
  </w:style>
  <w:style w:type="paragraph" w:customStyle="1" w:styleId="19">
    <w:name w:val="Table Caption"/>
    <w:basedOn w:val="18"/>
    <w:qFormat/>
    <w:uiPriority w:val="0"/>
  </w:style>
  <w:style w:type="character" w:customStyle="1" w:styleId="20">
    <w:name w:val="Texte de bulles Car"/>
    <w:basedOn w:val="11"/>
    <w:link w:val="5"/>
    <w:semiHidden/>
    <w:qFormat/>
    <w:uiPriority w:val="99"/>
    <w:rPr>
      <w:rFonts w:ascii="Lucida Grande" w:hAnsi="Lucida Grande"/>
      <w:sz w:val="18"/>
      <w:szCs w:val="18"/>
    </w:rPr>
  </w:style>
  <w:style w:type="character" w:customStyle="1" w:styleId="21">
    <w:name w:val="reference_id"/>
    <w:basedOn w:val="11"/>
    <w:qFormat/>
    <w:uiPriority w:val="1"/>
    <w:rPr>
      <w:vertAlign w:val="superscript"/>
    </w:rPr>
  </w:style>
  <w:style w:type="paragraph" w:customStyle="1" w:styleId="22">
    <w:name w:val="graphic title"/>
    <w:basedOn w:val="18"/>
    <w:next w:val="1"/>
    <w:qFormat/>
    <w:uiPriority w:val="0"/>
  </w:style>
  <w:style w:type="paragraph" w:customStyle="1" w:styleId="23">
    <w:name w:val="table title"/>
    <w:basedOn w:val="19"/>
    <w:next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272</Words>
  <Characters>1314</Characters>
  <Lines>0</Lines>
  <Paragraphs>0</Paragraphs>
  <TotalTime>3</TotalTime>
  <ScaleCrop>false</ScaleCrop>
  <LinksUpToDate>false</LinksUpToDate>
  <CharactersWithSpaces>1476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2017-02-28T11:18:00Z</dcterms:created>
  <dc:creator>WPS_1615004398</dc:creator>
  <cp:lastModifiedBy>WPS_1615004398</cp:lastModifiedBy>
  <dcterms:modified xsi:type="dcterms:W3CDTF">2026-08-30T02:06:00Z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eyJoZGlkIjoiMDY2NWRhZGRiYTA0OGVlOTRjOTZiM2FiMmYzMzE2MWYiLCJ1c2VySWQiOiIxMTc3NjYzMDMzIn0=</vt:lpwstr>
  </property>
  <property fmtid="{D5CDD505-2E9C-101B-9397-08002B2CF9AE}" pid="3" name="KSOProductBuildVer">
    <vt:lpwstr>2052-12.1.0.28043</vt:lpwstr>
  </property>
  <property fmtid="{D5CDD505-2E9C-101B-9397-08002B2CF9AE}" pid="4" name="ICV">
    <vt:lpwstr>7510F3AEF5384310BF5758AF9FE8D918_12</vt:lpwstr>
  </property>
</Properties>
</file>