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C14E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2. Sc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reening and exclusion criteria for patients with ductal carcinoma in situ (DCIS).</w:t>
      </w:r>
    </w:p>
    <w:tbl>
      <w:tblPr>
        <w:tblStyle w:val="5"/>
        <w:tblpPr w:leftFromText="180" w:rightFromText="180" w:vertAnchor="page" w:horzAnchor="page" w:tblpX="1412" w:tblpY="2302"/>
        <w:tblOverlap w:val="never"/>
        <w:tblW w:w="14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1987"/>
        <w:gridCol w:w="1049"/>
        <w:gridCol w:w="1137"/>
      </w:tblGrid>
      <w:tr w14:paraId="46DB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</w:trPr>
        <w:tc>
          <w:tcPr>
            <w:tcW w:w="119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68A425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Exclusion</w:t>
            </w:r>
          </w:p>
        </w:tc>
        <w:tc>
          <w:tcPr>
            <w:tcW w:w="10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061BA8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1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A26D2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%</w:t>
            </w:r>
          </w:p>
        </w:tc>
      </w:tr>
      <w:tr w14:paraId="2DA3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72C4101C">
            <w:pPr>
              <w:numPr>
                <w:ilvl w:val="0"/>
                <w:numId w:val="0"/>
              </w:numPr>
              <w:snapToGrid w:val="0"/>
              <w:spacing w:beforeLines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aged &lt;20 years or &gt;85 years at diagnosis</w:t>
            </w: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.</w:t>
            </w:r>
          </w:p>
        </w:tc>
        <w:tc>
          <w:tcPr>
            <w:tcW w:w="1049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0F1A64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1689</w:t>
            </w:r>
          </w:p>
        </w:tc>
        <w:tc>
          <w:tcPr>
            <w:tcW w:w="1137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0900BF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19</w:t>
            </w:r>
          </w:p>
        </w:tc>
      </w:tr>
      <w:tr w14:paraId="67FE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527C16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2.Patients with undocumented surgery, bilateral mastectomy at diagnosis, or no surgery performed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E9A1E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13878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1180F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9.77</w:t>
            </w:r>
          </w:p>
        </w:tc>
      </w:tr>
      <w:tr w14:paraId="71D0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11DF8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 xml:space="preserve">Patients with bilateral breast cancer, unknown laterality at diagnosis, or undocumented laterality (small number) during follow-up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BC339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41332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0.09</w:t>
            </w:r>
          </w:p>
        </w:tc>
      </w:tr>
      <w:tr w14:paraId="7110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D7A32D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with clinical or TNM stage indicating invasive components.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B4E68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681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7B068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0.48</w:t>
            </w:r>
          </w:p>
        </w:tc>
      </w:tr>
      <w:tr w14:paraId="58F6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E32A32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with tumor size ≥15 cm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C9726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6FDEE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0.08</w:t>
            </w:r>
          </w:p>
        </w:tc>
      </w:tr>
      <w:tr w14:paraId="3538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E9D21">
            <w:pPr>
              <w:snapToGrid w:val="0"/>
              <w:spacing w:beforeLines="0" w:afterLines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6.Missing or no follow-up months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79FA6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C8AB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0.17</w:t>
            </w:r>
          </w:p>
        </w:tc>
      </w:tr>
      <w:tr w14:paraId="6F31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9E8747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.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Patients diagnosed with invasive breast cancer within 6 months after initial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447B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1197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9864E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0.84</w:t>
            </w:r>
          </w:p>
        </w:tc>
      </w:tr>
      <w:tr w14:paraId="5AC2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2C2682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undergoing bilateral mastectomy for ipsilateral ductal carcinoma in situ within 6 months after initial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BEB40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7F035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7FCD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691FBC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with contralateral ductal carcinoma in situ (DCIS) diagnosed within 6 months after initial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63FA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1620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25195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1.14</w:t>
            </w:r>
          </w:p>
        </w:tc>
      </w:tr>
      <w:tr w14:paraId="0F99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34D143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diagnosed with new primary non-breast malignancies within 6 months after initial breast cancer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005F1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714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D1E92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0.50</w:t>
            </w:r>
          </w:p>
        </w:tc>
      </w:tr>
      <w:tr w14:paraId="11FC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ACA8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with follow-up time less than 6 months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A070F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1197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6DCDB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0.84</w:t>
            </w:r>
          </w:p>
        </w:tc>
      </w:tr>
      <w:tr w14:paraId="4068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BF3B91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.Asian, racial minorities (American Indian, Alaska Native, Native Hawaiian, Pacific Islander, etc.) or patients with unknown race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0DECF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15752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A6E96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11.10</w:t>
            </w:r>
          </w:p>
        </w:tc>
      </w:tr>
      <w:tr w14:paraId="5343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259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C31ACDF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iCs/>
                <w:sz w:val="24"/>
                <w:szCs w:val="24"/>
              </w:rPr>
              <w:t>Eligible for study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E0129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104736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21A09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73.79</w:t>
            </w:r>
          </w:p>
        </w:tc>
      </w:tr>
      <w:tr w14:paraId="2B0F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90" w:hRule="atLeast"/>
        </w:trPr>
        <w:tc>
          <w:tcPr>
            <w:tcW w:w="11987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7D45FF0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93372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141943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F1E367A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100</w:t>
            </w:r>
          </w:p>
        </w:tc>
      </w:tr>
    </w:tbl>
    <w:p w14:paraId="7202E3C6">
      <w:pPr>
        <w:rPr>
          <w:rFonts w:hint="default" w:ascii="Times New Roman" w:hAnsi="Times New Roman" w:cs="Times New Roman"/>
          <w:b/>
          <w:bCs/>
        </w:rPr>
      </w:pPr>
    </w:p>
    <w:p w14:paraId="59E97F32"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6CDC"/>
    <w:rsid w:val="0ADA4610"/>
    <w:rsid w:val="10376F37"/>
    <w:rsid w:val="139C6028"/>
    <w:rsid w:val="184321EC"/>
    <w:rsid w:val="240112CA"/>
    <w:rsid w:val="30A226FC"/>
    <w:rsid w:val="3A3D699D"/>
    <w:rsid w:val="48545A7F"/>
    <w:rsid w:val="50F347FF"/>
    <w:rsid w:val="517A013D"/>
    <w:rsid w:val="5B093F74"/>
    <w:rsid w:val="69194A91"/>
    <w:rsid w:val="6D6D293F"/>
    <w:rsid w:val="78B37CFB"/>
    <w:rsid w:val="792D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680"/>
        <w:tab w:val="right" w:pos="9360"/>
      </w:tabs>
    </w:pPr>
  </w:style>
  <w:style w:type="paragraph" w:styleId="3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table" w:styleId="5">
    <w:name w:val="Table Grid"/>
    <w:basedOn w:val="4"/>
    <w:qFormat/>
    <w:uiPriority w:val="39"/>
    <w:rPr>
      <w:rFonts w:eastAsia="宋体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Caption"/>
    <w:basedOn w:val="8"/>
    <w:qFormat/>
    <w:uiPriority w:val="0"/>
  </w:style>
  <w:style w:type="paragraph" w:customStyle="1" w:styleId="8">
    <w:name w:val="Image Caption"/>
    <w:basedOn w:val="1"/>
    <w:qFormat/>
    <w:uiPriority w:val="0"/>
    <w:pPr>
      <w:jc w:val="center"/>
    </w:pPr>
    <w:rPr>
      <w:b/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1045</Characters>
  <Lines>0</Lines>
  <Paragraphs>0</Paragraphs>
  <TotalTime>0</TotalTime>
  <ScaleCrop>false</ScaleCrop>
  <LinksUpToDate>false</LinksUpToDate>
  <CharactersWithSpaces>1177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2025-11-02T14:26:00Z</dcterms:created>
  <dc:creator>guo</dc:creator>
  <cp:lastModifiedBy>WPS_1615004398</cp:lastModifiedBy>
  <dcterms:modified xsi:type="dcterms:W3CDTF">2026-07-16T14:15:05Z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7275595E5B98472A858797AABDBDB169_12</vt:lpwstr>
  </property>
</Properties>
</file>