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28201">
      <w:pPr>
        <w:spacing w:line="360" w:lineRule="auto"/>
        <w:rPr>
          <w:rFonts w:hint="default" w:ascii="Times New Roman" w:hAnsi="Times New Roman" w:eastAsia="Arial" w:cs="Times New Roman"/>
          <w:b/>
          <w:bCs/>
          <w:i w:val="0"/>
          <w:strike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/>
          <w:bCs/>
          <w:sz w:val="24"/>
        </w:rPr>
        <w:t xml:space="preserve">Supplementary Table 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20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. PSH assumption test results for risk factors in Black and White patients with IDC.</w:t>
      </w:r>
    </w:p>
    <w:tbl>
      <w:tblPr>
        <w:tblStyle w:val="2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1645"/>
        <w:gridCol w:w="1645"/>
        <w:gridCol w:w="1645"/>
        <w:gridCol w:w="1645"/>
        <w:gridCol w:w="1645"/>
      </w:tblGrid>
      <w:tr w14:paraId="7D893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413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57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37B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KS P-value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3BF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KS P-value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2A1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CvM P-value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BA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</w:rPr>
              <w:t>CvM P-value</w:t>
            </w:r>
          </w:p>
        </w:tc>
      </w:tr>
      <w:tr w14:paraId="25C0D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7A6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05D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FAE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Black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B4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White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5B0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Black</w:t>
            </w:r>
          </w:p>
        </w:tc>
        <w:tc>
          <w:tcPr>
            <w:tcW w:w="164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78A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White</w:t>
            </w:r>
          </w:p>
        </w:tc>
      </w:tr>
      <w:tr w14:paraId="5F2D3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98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ADC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240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C47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42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06C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46868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B9E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3F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027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0.85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C0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0.2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A2A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0.60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989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0.160</w:t>
            </w:r>
          </w:p>
        </w:tc>
      </w:tr>
      <w:tr w14:paraId="5F627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C19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D11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6CE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440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59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197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26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30F8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71C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B0D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FAF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1B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02C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D2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9736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093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EF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≤2cm 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85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52E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4F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747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1D2AC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9B8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ED0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2-5cm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D0A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0.52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9C7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74E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0.48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415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 w14:paraId="12AB2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56F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6BC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&gt;5cm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343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0.02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52A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A2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0.01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27B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731B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8B2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642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Unknown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4BD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5A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C3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D65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3D97E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30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321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N0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CAC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62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19F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78B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101A4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B2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5B5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8D2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87C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320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AB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0.330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580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</w:tr>
      <w:tr w14:paraId="2D662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E4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062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FD3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41E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D97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3BA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02CE0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FB2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75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BD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BE3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D53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519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5B5B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52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23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0B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857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7B8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E5D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53E4F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280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D7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76B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9E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247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2EA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2BCFA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5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CD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589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3A2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0.01</w:t>
            </w: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3B8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0.02</w:t>
            </w: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31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  <w:tc>
          <w:tcPr>
            <w:tcW w:w="164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F1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0.01</w:t>
            </w:r>
          </w:p>
        </w:tc>
      </w:tr>
    </w:tbl>
    <w:p w14:paraId="50D10E34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Abbreviation: PSH: proportional subdistribution hazard; IDC: invasive ductal carcinoma; ref: reference category; N0: lymph node metastasis stage N0; N1: lymph node metastasis stage N1; N2: lymph node metastasis stage N2; N3: lymph node metastasis stage N3. </w:t>
      </w:r>
    </w:p>
    <w:p w14:paraId="77B50B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574FC"/>
    <w:rsid w:val="02047E4E"/>
    <w:rsid w:val="09562DDA"/>
    <w:rsid w:val="183A33CB"/>
    <w:rsid w:val="26D460EE"/>
    <w:rsid w:val="404C6914"/>
    <w:rsid w:val="40905DC3"/>
    <w:rsid w:val="550551E2"/>
    <w:rsid w:val="717E7836"/>
    <w:rsid w:val="7FF3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736</Characters>
  <Lines>0</Lines>
  <Paragraphs>0</Paragraphs>
  <TotalTime>0</TotalTime>
  <ScaleCrop>false</ScaleCrop>
  <LinksUpToDate>false</LinksUpToDate>
  <CharactersWithSpaces>800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2026-05-16T08:15:00Z</dcterms:created>
  <dc:creator>guo</dc:creator>
  <cp:lastModifiedBy>WPS_1615004398</cp:lastModifiedBy>
  <dcterms:modified xsi:type="dcterms:W3CDTF">2026-08-29T12:42:01Z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5EF07AAD102A40C78579BCC29577306C_12</vt:lpwstr>
  </property>
</Properties>
</file>