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BF5529">
      <w:pPr>
        <w:spacing w:line="360" w:lineRule="auto"/>
      </w:pPr>
      <w:r>
        <w:rPr>
          <w:rFonts w:hint="eastAsia" w:ascii="Times New Roman" w:hAnsi="Times New Roman" w:cs="Times New Roman"/>
          <w:b/>
          <w:bCs/>
          <w:sz w:val="24"/>
        </w:rPr>
        <w:t xml:space="preserve">Supplementary Table </w:t>
      </w:r>
      <w:r>
        <w:rPr>
          <w:rFonts w:hint="eastAsia" w:ascii="Times New Roman" w:hAnsi="Times New Roman" w:cs="Times New Roman"/>
          <w:b/>
          <w:bCs/>
          <w:sz w:val="24"/>
          <w:lang w:val="en-US" w:eastAsia="zh-CN"/>
        </w:rPr>
        <w:t>21</w:t>
      </w:r>
      <w:bookmarkStart w:id="0" w:name="_GoBack"/>
      <w:bookmarkEnd w:id="0"/>
      <w:r>
        <w:rPr>
          <w:rFonts w:hint="eastAsia" w:ascii="Times New Roman" w:hAnsi="Times New Roman" w:cs="Times New Roman"/>
          <w:b/>
          <w:bCs/>
          <w:sz w:val="24"/>
        </w:rPr>
        <w:t>. Fixed</w:t>
      </w:r>
      <w:r>
        <w:rPr>
          <w:rFonts w:hint="eastAsia" w:ascii="Times New Roman" w:hAnsi="Times New Roman" w:cs="Times New Roman"/>
          <w:sz w:val="24"/>
        </w:rPr>
        <w:t>-</w:t>
      </w:r>
      <w:r>
        <w:rPr>
          <w:rFonts w:hint="eastAsia" w:ascii="Times New Roman" w:hAnsi="Times New Roman" w:cs="Times New Roman"/>
          <w:b/>
          <w:bCs/>
          <w:sz w:val="24"/>
        </w:rPr>
        <w:t>effect Fine</w:t>
      </w:r>
      <w:r>
        <w:rPr>
          <w:rFonts w:hint="eastAsia" w:ascii="Times New Roman" w:hAnsi="Times New Roman" w:cs="Times New Roman"/>
          <w:sz w:val="24"/>
        </w:rPr>
        <w:t>-</w:t>
      </w:r>
      <w:r>
        <w:rPr>
          <w:rFonts w:hint="eastAsia" w:ascii="Times New Roman" w:hAnsi="Times New Roman" w:cs="Times New Roman"/>
          <w:b/>
          <w:bCs/>
          <w:sz w:val="24"/>
        </w:rPr>
        <w:t>Gray competing risks analysis of CIBC risk factors in Black and White patients with IDC.</w:t>
      </w:r>
    </w:p>
    <w:tbl>
      <w:tblPr>
        <w:tblStyle w:val="8"/>
        <w:tblW w:w="14173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8"/>
        <w:gridCol w:w="2536"/>
        <w:gridCol w:w="2882"/>
        <w:gridCol w:w="2018"/>
        <w:gridCol w:w="2958"/>
        <w:gridCol w:w="1591"/>
      </w:tblGrid>
      <w:tr w14:paraId="2E4C02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3096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Variable</w:t>
            </w:r>
          </w:p>
        </w:tc>
        <w:tc>
          <w:tcPr>
            <w:tcW w:w="2536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CD0A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Level</w:t>
            </w:r>
          </w:p>
        </w:tc>
        <w:tc>
          <w:tcPr>
            <w:tcW w:w="28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BF36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HR</w:t>
            </w:r>
          </w:p>
        </w:tc>
        <w:tc>
          <w:tcPr>
            <w:tcW w:w="2018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75EA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P-value</w:t>
            </w:r>
          </w:p>
        </w:tc>
        <w:tc>
          <w:tcPr>
            <w:tcW w:w="2958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3D57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strike w:val="0"/>
                <w:color w:val="000000"/>
                <w:sz w:val="24"/>
                <w:szCs w:val="24"/>
                <w:u w:val="none"/>
              </w:rPr>
              <w:t>HR</w:t>
            </w:r>
          </w:p>
        </w:tc>
        <w:tc>
          <w:tcPr>
            <w:tcW w:w="159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99DD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strike w:val="0"/>
                <w:color w:val="000000"/>
                <w:sz w:val="24"/>
                <w:szCs w:val="24"/>
                <w:u w:val="none"/>
              </w:rPr>
              <w:t>P-value</w:t>
            </w:r>
          </w:p>
        </w:tc>
      </w:tr>
      <w:tr w14:paraId="2521F4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82C5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3AF4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490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C0BB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Black</w:t>
            </w:r>
          </w:p>
        </w:tc>
        <w:tc>
          <w:tcPr>
            <w:tcW w:w="4549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60F0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White</w:t>
            </w:r>
          </w:p>
        </w:tc>
      </w:tr>
      <w:tr w14:paraId="7C1B39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288F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Age</w:t>
            </w:r>
          </w:p>
        </w:tc>
        <w:tc>
          <w:tcPr>
            <w:tcW w:w="253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A834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≤50 (ref)</w:t>
            </w:r>
          </w:p>
        </w:tc>
        <w:tc>
          <w:tcPr>
            <w:tcW w:w="288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A692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01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E313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</w:p>
        </w:tc>
        <w:tc>
          <w:tcPr>
            <w:tcW w:w="295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8323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59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4021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</w:tr>
      <w:tr w14:paraId="4D841D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9F82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E467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51-60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CEC2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0.92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0.84 - 1.00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5242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0.053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A199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1.09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1.04 - 1.15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A534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&lt;0.001</w:t>
            </w:r>
          </w:p>
        </w:tc>
      </w:tr>
      <w:tr w14:paraId="07DBD0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24FD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9EB6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61-70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938E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0.83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0.74 - 0.94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A84A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0.003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FA99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1.13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1.07 - 1.19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1280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&lt;0.001</w:t>
            </w:r>
          </w:p>
        </w:tc>
      </w:tr>
      <w:tr w14:paraId="0617BB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6169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E5E9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≥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7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4500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0.65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0.56 - 0.76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A1A7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&lt;0.001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A5F4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0.85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0.80 - 0.91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53C2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&lt;0.001</w:t>
            </w:r>
          </w:p>
        </w:tc>
      </w:tr>
      <w:tr w14:paraId="6719EF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47C1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Hormone Receptor Status</w:t>
            </w: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4288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HR</w:t>
            </w:r>
            <w:r>
              <w:rPr>
                <w:rFonts w:hint="default" w:ascii="Times New Roman" w:hAnsi="Times New Roman" w:eastAsia="Arial" w:cs="Times New Roman"/>
                <w:b w:val="0"/>
                <w:bCs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-</w:t>
            </w:r>
            <w:r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 xml:space="preserve"> (ref)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01F9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CA85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F1C9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9558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</w:tr>
      <w:tr w14:paraId="01FC1B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FE03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7CBB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HR+ (ER+/PR+)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E07C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0.71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0.64 - 0.79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E404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&lt;0.001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02C0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0.76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0.72 - 0.79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43F8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&lt;0.001</w:t>
            </w:r>
          </w:p>
        </w:tc>
      </w:tr>
      <w:tr w14:paraId="422EE3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4AE9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C879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HR+ (Other)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9545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0.72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0.62 - 0.83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1FE0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&lt;0.001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2DF9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0.74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0.69 - 0.79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FD7E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&lt;0.001</w:t>
            </w:r>
          </w:p>
        </w:tc>
      </w:tr>
      <w:tr w14:paraId="31A429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708A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D86F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 Equivocal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0237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0.82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0.68 - 0.97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9B6E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0.025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72CB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0.86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0.80 - 0.93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1466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&lt;0.001</w:t>
            </w:r>
          </w:p>
        </w:tc>
      </w:tr>
      <w:tr w14:paraId="64C222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2712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Tumor Size Group</w:t>
            </w: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03E1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3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 xml:space="preserve">≤2cm </w:t>
            </w: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(ref)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2B57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5CF3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7A00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43C8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</w:tr>
      <w:tr w14:paraId="6268BB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9B56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044D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2-5cm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4387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0.94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0.85 - 1.03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882C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0.190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A4E1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1.00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0.96 - 1.05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CBC7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0.940</w:t>
            </w:r>
          </w:p>
        </w:tc>
      </w:tr>
      <w:tr w14:paraId="10F9DF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212A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6C97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</w:rPr>
              <w:t>&gt;5cm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D8BB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0.95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0.79 - 1.14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4050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0.570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9A54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1.27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1.16 - 1.39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06A1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&lt;0.001</w:t>
            </w:r>
          </w:p>
        </w:tc>
      </w:tr>
      <w:tr w14:paraId="37C20D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58C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B71D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Unknown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50C7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1.32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0.80 - 2.16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6E1D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0.280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4F7F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1.36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1.04 - 1.77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F6C4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0.024</w:t>
            </w:r>
          </w:p>
        </w:tc>
      </w:tr>
      <w:tr w14:paraId="64427E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8E5A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Lymph Node Stage</w:t>
            </w: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2589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 xml:space="preserve">N0 </w:t>
            </w: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</w:rPr>
              <w:t>(ref)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7D54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AC21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D90C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4887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</w:tr>
      <w:tr w14:paraId="3F574D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E06B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2BD8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56CD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0.93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(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0.88 - 0.99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0CD5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0.048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8084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0.93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0.89 - 0.97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3C30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0.002</w:t>
            </w:r>
          </w:p>
        </w:tc>
      </w:tr>
      <w:tr w14:paraId="3277BC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E5C2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6DF3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</w:rPr>
              <w:t>2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18D9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0.81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0.67 - 0.98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C24E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0.027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5EBD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0.82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0.75 - 0.89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472F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&lt;0.001</w:t>
            </w:r>
          </w:p>
        </w:tc>
      </w:tr>
      <w:tr w14:paraId="05C70F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F3A4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DC92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</w:rPr>
              <w:t>3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9202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0.95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0.76 - 1.20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7F6D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0.680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78C1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0.90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0.80 - 1.01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A8EB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0.073</w:t>
            </w:r>
          </w:p>
        </w:tc>
      </w:tr>
      <w:tr w14:paraId="5B6267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6CCD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Surgery Type</w:t>
            </w: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8284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Lumpectomy</w:t>
            </w: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(ref)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624A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4904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DE0E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B70C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</w:tr>
      <w:tr w14:paraId="47ED5A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DE1C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0817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Radical Mastectomy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8362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1.05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0.93 - 1.19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5A76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0.390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D357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1.01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0.96 - 1.07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2E4E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0.650</w:t>
            </w:r>
          </w:p>
        </w:tc>
      </w:tr>
      <w:tr w14:paraId="3D0E73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59C3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960F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Mastectomy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1071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1.01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0.87 - 1.18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E32D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0.860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0427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0.99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0.93 - 1.06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4926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0.770</w:t>
            </w:r>
          </w:p>
        </w:tc>
      </w:tr>
      <w:tr w14:paraId="2B138B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F595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Radiation</w:t>
            </w: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86F6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NO</w:t>
            </w: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</w:rPr>
              <w:t>(ref)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28DD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1.00 (ref)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7BB9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AEB1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3DB5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</w:tr>
      <w:tr w14:paraId="619D13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E069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46AA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</w:rPr>
              <w:t>YES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6201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1.04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0.68 - 1.58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75D3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0.860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00AF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0.91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0.79 - 1.04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F820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0.180</w:t>
            </w:r>
          </w:p>
        </w:tc>
      </w:tr>
      <w:tr w14:paraId="3F623E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79A5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6037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highlight w:val="none"/>
                <w:u w:val="none"/>
              </w:rPr>
              <w:t>Unknown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9039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0.92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0.60 - 1.40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27EA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0.700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E6D8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0.78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0.68 - 0.90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2D8A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&lt;0.001</w:t>
            </w:r>
          </w:p>
        </w:tc>
      </w:tr>
      <w:tr w14:paraId="56A47A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6894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Chemotherapy</w:t>
            </w:r>
          </w:p>
        </w:tc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4EF8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No/Unknown</w:t>
            </w: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</w:rPr>
              <w:t>(ref)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A6D7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D1F8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AF6A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DDEE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</w:pPr>
          </w:p>
        </w:tc>
      </w:tr>
      <w:tr w14:paraId="66BC27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88" w:type="dxa"/>
            <w:vMerge w:val="continue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A166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53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B201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Chemotherapy Yes</w:t>
            </w:r>
          </w:p>
        </w:tc>
        <w:tc>
          <w:tcPr>
            <w:tcW w:w="288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AD10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1.02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0.92 - 1.14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201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683B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0.680</w:t>
            </w:r>
          </w:p>
        </w:tc>
        <w:tc>
          <w:tcPr>
            <w:tcW w:w="295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B345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0.90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(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0.87 - 0.94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  <w:lang w:val="en-US" w:eastAsia="zh-CN"/>
              </w:rPr>
              <w:t>)</w:t>
            </w:r>
          </w:p>
        </w:tc>
        <w:tc>
          <w:tcPr>
            <w:tcW w:w="159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B106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strike w:val="0"/>
                <w:color w:val="000000"/>
                <w:sz w:val="24"/>
                <w:szCs w:val="24"/>
                <w:u w:val="none"/>
              </w:rPr>
              <w:t>&lt;0.001</w:t>
            </w:r>
          </w:p>
        </w:tc>
      </w:tr>
    </w:tbl>
    <w:p w14:paraId="06685F34">
      <w:pPr>
        <w:widowControl/>
        <w:suppressAutoHyphens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hint="eastAsia" w:ascii="Times New Roman" w:hAnsi="Times New Roman" w:cs="Times New Roman"/>
          <w:sz w:val="21"/>
          <w:szCs w:val="21"/>
        </w:rPr>
        <w:t>Abbreviation: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sz w:val="21"/>
          <w:szCs w:val="21"/>
        </w:rPr>
        <w:t xml:space="preserve">HR: </w:t>
      </w:r>
      <w:r>
        <w:rPr>
          <w:rFonts w:ascii="Times New Roman" w:hAnsi="Times New Roman" w:cs="Times New Roman"/>
          <w:sz w:val="21"/>
          <w:szCs w:val="21"/>
        </w:rPr>
        <w:t>H</w:t>
      </w:r>
      <w:r>
        <w:rPr>
          <w:rFonts w:hint="eastAsia" w:ascii="Times New Roman" w:hAnsi="Times New Roman" w:cs="Times New Roman"/>
          <w:sz w:val="21"/>
          <w:szCs w:val="21"/>
        </w:rPr>
        <w:t>azard ratio; CI: confidence interval; ref: reference category; CIBC: contralateral invasive breast cancer; IDC: invasive ductal carcinoma; ref: reference category; HR-: ER-negative and PR-negative; HR+ (ER+/PR+), ER-positive and PR-positive; HR+ (Other): positive for either ER or PR, but not both; HR</w:t>
      </w:r>
      <w:r>
        <w:rPr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Equivocal</w:t>
      </w:r>
      <w:r>
        <w:rPr>
          <w:rFonts w:hint="eastAsia" w:ascii="Times New Roman" w:hAnsi="Times New Roman" w:cs="Times New Roman"/>
          <w:sz w:val="21"/>
          <w:szCs w:val="21"/>
        </w:rPr>
        <w:t>: neither ER nor PR was positive, with at least one being borderline or unknown; N0: lymph node metastasis stage N0; N1: lymph node metastasis stage N1; N2: lymph node metastasis stage N2; N3: lymph node metastasis stage N3.</w:t>
      </w:r>
    </w:p>
    <w:p w14:paraId="5D5DB03F"/>
    <w:p w14:paraId="1A08BB52"/>
    <w:p w14:paraId="733599D8"/>
    <w:p w14:paraId="0F82217D">
      <w:pPr>
        <w:rPr>
          <w:rFonts w:hint="default" w:eastAsiaTheme="minorEastAsia"/>
          <w:lang w:val="en-US" w:eastAsia="zh-CN"/>
        </w:rPr>
      </w:pPr>
    </w:p>
    <w:sectPr>
      <w:type w:val="continuous"/>
      <w:pgSz w:w="16840" w:h="11900" w:orient="landscape"/>
      <w:pgMar w:top="1417" w:right="1417" w:bottom="1417" w:left="1417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Lucida Grande">
    <w:altName w:val="Courier New"/>
    <w:panose1 w:val="020B0600040502020204"/>
    <w:charset w:val="00"/>
    <w:family w:val="auto"/>
    <w:pitch w:val="default"/>
    <w:sig w:usb0="00000000" w:usb1="00000000" w:usb2="00000000" w:usb3="00000000" w:csb0="000001B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E925FD"/>
    <w:multiLevelType w:val="multilevel"/>
    <w:tmpl w:val="07E925FD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3"/>
      <w:lvlText w:val="%1.%2."/>
      <w:lvlJc w:val="left"/>
      <w:pPr>
        <w:ind w:left="792" w:hanging="432"/>
      </w:pPr>
    </w:lvl>
    <w:lvl w:ilvl="2" w:tentative="0">
      <w:start w:val="1"/>
      <w:numFmt w:val="decimal"/>
      <w:pStyle w:val="4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1B0F7605"/>
    <w:rsid w:val="2229377C"/>
    <w:rsid w:val="2AA306FC"/>
    <w:rsid w:val="32962883"/>
    <w:rsid w:val="3AC64E5F"/>
    <w:rsid w:val="3F10008F"/>
    <w:rsid w:val="3F9F518C"/>
    <w:rsid w:val="470C4CAB"/>
    <w:rsid w:val="4F8F032F"/>
    <w:rsid w:val="543430DF"/>
    <w:rsid w:val="70175E8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qFormat="1"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numPr>
        <w:ilvl w:val="0"/>
        <w:numId w:val="1"/>
      </w:numPr>
      <w:pBdr>
        <w:bottom w:val="single" w:color="auto" w:sz="4" w:space="1"/>
      </w:pBdr>
      <w:spacing w:before="480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hAnsiTheme="majorHAnsi" w:eastAsiaTheme="majorEastAsia" w:cstheme="majorBidi"/>
      <w:b/>
      <w:bCs/>
      <w:sz w:val="26"/>
      <w:szCs w:val="26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hAnsiTheme="majorHAnsi" w:eastAsiaTheme="majorEastAsia" w:cstheme="majorBidi"/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20"/>
    <w:semiHidden/>
    <w:unhideWhenUsed/>
    <w:qFormat/>
    <w:uiPriority w:val="99"/>
    <w:rPr>
      <w:rFonts w:ascii="Lucida Grande" w:hAnsi="Lucida Grande"/>
      <w:sz w:val="18"/>
      <w:szCs w:val="18"/>
    </w:rPr>
  </w:style>
  <w:style w:type="paragraph" w:styleId="6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7">
    <w:name w:val="toc 2"/>
    <w:basedOn w:val="1"/>
    <w:next w:val="1"/>
    <w:autoRedefine/>
    <w:unhideWhenUsed/>
    <w:qFormat/>
    <w:uiPriority w:val="39"/>
    <w:pPr>
      <w:spacing w:after="100"/>
      <w:ind w:left="240"/>
    </w:pPr>
  </w:style>
  <w:style w:type="table" w:styleId="9">
    <w:name w:val="Table Professional"/>
    <w:basedOn w:val="8"/>
    <w:semiHidden/>
    <w:unhideWhenUsed/>
    <w:qFormat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10">
    <w:name w:val="Light List Accent 2"/>
    <w:basedOn w:val="8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character" w:customStyle="1" w:styleId="12">
    <w:name w:val="strong"/>
    <w:basedOn w:val="11"/>
    <w:qFormat/>
    <w:uiPriority w:val="1"/>
    <w:rPr>
      <w:b/>
    </w:rPr>
  </w:style>
  <w:style w:type="paragraph" w:customStyle="1" w:styleId="13">
    <w:name w:val="centered"/>
    <w:basedOn w:val="1"/>
    <w:qFormat/>
    <w:uiPriority w:val="0"/>
    <w:pPr>
      <w:jc w:val="center"/>
    </w:pPr>
  </w:style>
  <w:style w:type="table" w:customStyle="1" w:styleId="14">
    <w:name w:val="table_template"/>
    <w:basedOn w:val="8"/>
    <w:qFormat/>
    <w:uiPriority w:val="59"/>
    <w:pPr>
      <w:jc w:val="right"/>
    </w:pPr>
    <w:tblPr>
      <w:jc w:val="center"/>
      <w:tblBorders>
        <w:top w:val="single" w:color="auto" w:sz="8" w:space="0"/>
        <w:bottom w:val="single" w:color="auto" w:sz="8" w:space="0"/>
        <w:insideH w:val="single" w:color="auto" w:sz="8" w:space="0"/>
      </w:tblBorders>
    </w:tblPr>
    <w:trPr>
      <w:jc w:val="center"/>
    </w:trPr>
    <w:tblStylePr w:type="firstRow">
      <w:rPr>
        <w:b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5">
    <w:name w:val="Titre 1 Car"/>
    <w:basedOn w:val="11"/>
    <w:link w:val="2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6">
    <w:name w:val="Titre 2 Car"/>
    <w:basedOn w:val="11"/>
    <w:link w:val="3"/>
    <w:semiHidden/>
    <w:qFormat/>
    <w:uiPriority w:val="9"/>
    <w:rPr>
      <w:rFonts w:asciiTheme="majorHAnsi" w:hAnsiTheme="majorHAnsi" w:eastAsiaTheme="majorEastAsia" w:cstheme="majorBidi"/>
      <w:b/>
      <w:bCs/>
      <w:sz w:val="26"/>
      <w:szCs w:val="26"/>
    </w:rPr>
  </w:style>
  <w:style w:type="character" w:customStyle="1" w:styleId="17">
    <w:name w:val="Titre 3 Car"/>
    <w:basedOn w:val="11"/>
    <w:link w:val="4"/>
    <w:semiHidden/>
    <w:qFormat/>
    <w:uiPriority w:val="9"/>
    <w:rPr>
      <w:rFonts w:asciiTheme="majorHAnsi" w:hAnsiTheme="majorHAnsi" w:eastAsiaTheme="majorEastAsia" w:cstheme="majorBidi"/>
      <w:b/>
      <w:bCs/>
    </w:rPr>
  </w:style>
  <w:style w:type="paragraph" w:customStyle="1" w:styleId="18">
    <w:name w:val="Image Caption"/>
    <w:basedOn w:val="1"/>
    <w:qFormat/>
    <w:uiPriority w:val="0"/>
    <w:pPr>
      <w:jc w:val="center"/>
    </w:pPr>
    <w:rPr>
      <w:b/>
      <w:i/>
    </w:rPr>
  </w:style>
  <w:style w:type="paragraph" w:customStyle="1" w:styleId="19">
    <w:name w:val="Table Caption"/>
    <w:basedOn w:val="18"/>
    <w:qFormat/>
    <w:uiPriority w:val="0"/>
  </w:style>
  <w:style w:type="character" w:customStyle="1" w:styleId="20">
    <w:name w:val="Texte de bulles Car"/>
    <w:basedOn w:val="11"/>
    <w:link w:val="5"/>
    <w:semiHidden/>
    <w:qFormat/>
    <w:uiPriority w:val="99"/>
    <w:rPr>
      <w:rFonts w:ascii="Lucida Grande" w:hAnsi="Lucida Grande"/>
      <w:sz w:val="18"/>
      <w:szCs w:val="18"/>
    </w:rPr>
  </w:style>
  <w:style w:type="character" w:customStyle="1" w:styleId="21">
    <w:name w:val="reference_id"/>
    <w:basedOn w:val="11"/>
    <w:qFormat/>
    <w:uiPriority w:val="1"/>
    <w:rPr>
      <w:vertAlign w:val="superscript"/>
    </w:rPr>
  </w:style>
  <w:style w:type="paragraph" w:customStyle="1" w:styleId="22">
    <w:name w:val="graphic title"/>
    <w:basedOn w:val="18"/>
    <w:next w:val="1"/>
    <w:qFormat/>
    <w:uiPriority w:val="0"/>
  </w:style>
  <w:style w:type="paragraph" w:customStyle="1" w:styleId="23">
    <w:name w:val="table title"/>
    <w:basedOn w:val="19"/>
    <w:next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297</Words>
  <Characters>1601</Characters>
  <Lines>0</Lines>
  <Paragraphs>0</Paragraphs>
  <TotalTime>0</TotalTime>
  <ScaleCrop>false</ScaleCrop>
  <LinksUpToDate>false</LinksUpToDate>
  <CharactersWithSpaces>1788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2017-02-28T11:18:00Z</dcterms:created>
  <dc:creator>WPS_1615004398</dc:creator>
  <cp:lastModifiedBy>WPS_1615004398</cp:lastModifiedBy>
  <dcterms:modified xsi:type="dcterms:W3CDTF">2026-08-29T12:42:13Z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eyJoZGlkIjoiMDY2NWRhZGRiYTA0OGVlOTRjOTZiM2FiMmYzMzE2MWYiLCJ1c2VySWQiOiIxMTc3NjYzMDMzIn0=</vt:lpwstr>
  </property>
  <property fmtid="{D5CDD505-2E9C-101B-9397-08002B2CF9AE}" pid="3" name="KSOProductBuildVer">
    <vt:lpwstr>2052-12.1.0.28043</vt:lpwstr>
  </property>
  <property fmtid="{D5CDD505-2E9C-101B-9397-08002B2CF9AE}" pid="4" name="ICV">
    <vt:lpwstr>512689B867944C4B96744EE05D7E1DD4_12</vt:lpwstr>
  </property>
</Properties>
</file>