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D693B3">
      <w:pPr>
        <w:spacing w:line="360" w:lineRule="auto"/>
        <w:rPr>
          <w:rFonts w:hint="default" w:ascii="Times New Roman" w:hAnsi="Times New Roman" w:eastAsia="Arial" w:cs="Times New Roman"/>
          <w:b/>
          <w:i w:val="0"/>
          <w:color w:val="000000"/>
          <w:sz w:val="24"/>
          <w:szCs w:val="24"/>
          <w:u w:val="none"/>
        </w:rPr>
      </w:pPr>
      <w:r>
        <w:rPr>
          <w:rFonts w:hint="eastAsia" w:ascii="Times New Roman" w:hAnsi="Times New Roman" w:cs="Times New Roman"/>
          <w:b/>
          <w:bCs/>
          <w:sz w:val="24"/>
        </w:rPr>
        <w:t>Supplementary Table 5. Baseline characteristics of patients with ductal carcinoma in situ (DCIS).</w:t>
      </w:r>
    </w:p>
    <w:tbl>
      <w:tblPr>
        <w:tblStyle w:val="2"/>
        <w:tblW w:w="9870" w:type="dxa"/>
        <w:jc w:val="center"/>
        <w:tblBorders>
          <w:top w:val="single" w:color="000000" w:themeColor="text1" w:sz="8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49"/>
        <w:gridCol w:w="4098"/>
        <w:gridCol w:w="2723"/>
      </w:tblGrid>
      <w:tr w14:paraId="5E371D66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tcBorders>
              <w:top w:val="single" w:color="auto" w:sz="4" w:space="0"/>
              <w:left w:val="nil"/>
              <w:bottom w:val="single" w:color="auto" w:sz="4" w:space="0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2991D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i w:val="0"/>
                <w:color w:val="000000"/>
                <w:sz w:val="24"/>
                <w:szCs w:val="24"/>
                <w:u w:val="none"/>
              </w:rPr>
              <w:t>Variable</w:t>
            </w:r>
          </w:p>
        </w:tc>
        <w:tc>
          <w:tcPr>
            <w:tcW w:w="4098" w:type="dxa"/>
            <w:tcBorders>
              <w:top w:val="single" w:color="auto" w:sz="4" w:space="0"/>
              <w:left w:val="nil"/>
              <w:bottom w:val="single" w:color="auto" w:sz="4" w:space="0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6845D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i w:val="0"/>
                <w:color w:val="000000"/>
                <w:sz w:val="24"/>
                <w:szCs w:val="24"/>
                <w:u w:val="none"/>
              </w:rPr>
              <w:t>Value</w:t>
            </w:r>
          </w:p>
        </w:tc>
        <w:tc>
          <w:tcPr>
            <w:tcW w:w="2723" w:type="dxa"/>
            <w:tcBorders>
              <w:top w:val="single" w:color="auto" w:sz="4" w:space="0"/>
              <w:left w:val="nil"/>
              <w:bottom w:val="single" w:color="auto" w:sz="4" w:space="0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89E29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i w:val="0"/>
                <w:color w:val="000000"/>
                <w:sz w:val="24"/>
                <w:szCs w:val="24"/>
                <w:u w:val="none"/>
              </w:rPr>
              <w:t>Total</w:t>
            </w:r>
          </w:p>
        </w:tc>
      </w:tr>
      <w:tr w14:paraId="09BBC470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0E87E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Overall</w:t>
            </w:r>
          </w:p>
        </w:tc>
        <w:tc>
          <w:tcPr>
            <w:tcW w:w="4098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5E2CF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723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B670D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104,736</w:t>
            </w:r>
          </w:p>
        </w:tc>
      </w:tr>
      <w:tr w14:paraId="0A7F38A4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restart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AC591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Race</w:t>
            </w: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40AD2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Black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EEBA7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13,081 (12.5%)</w:t>
            </w:r>
          </w:p>
        </w:tc>
      </w:tr>
      <w:tr w14:paraId="74F53686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B7EE8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67A96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White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A36EC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91,655 (87.5%)</w:t>
            </w:r>
          </w:p>
        </w:tc>
      </w:tr>
      <w:tr w14:paraId="79E57E4F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restart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0A852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Year of diagnosis</w:t>
            </w: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1CDEB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2000-2004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FCFC1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25,821 (24.7%)</w:t>
            </w:r>
          </w:p>
        </w:tc>
      </w:tr>
      <w:tr w14:paraId="6E3BBDC2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AB1D4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FBE19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2005-2009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3A666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24,328 (23.2%)</w:t>
            </w:r>
          </w:p>
        </w:tc>
      </w:tr>
      <w:tr w14:paraId="275D1DDE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AEEB1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2B7C9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2010-2014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79027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22,681 (21.7%)</w:t>
            </w:r>
          </w:p>
        </w:tc>
      </w:tr>
      <w:tr w14:paraId="69BEDCD3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1AF05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76AC7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2015-2020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011D0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31,906 (30.5%)</w:t>
            </w:r>
          </w:p>
        </w:tc>
      </w:tr>
      <w:tr w14:paraId="137EF755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restart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4D111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Age at diagnosis (cont.)</w:t>
            </w: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DF4A9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Mean (SD)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B7CFA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59.79 (11.51)</w:t>
            </w:r>
          </w:p>
        </w:tc>
      </w:tr>
      <w:tr w14:paraId="5DE2A13D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D92E7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24247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Median (IQR)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978D9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60.00 (51.00, 68.00)</w:t>
            </w:r>
          </w:p>
        </w:tc>
      </w:tr>
      <w:tr w14:paraId="51B02D29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restart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D02FF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Age at diagnosis (cat.)</w:t>
            </w: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FA85C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≤50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BB46A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25,116 (24.0%)</w:t>
            </w:r>
          </w:p>
        </w:tc>
      </w:tr>
      <w:tr w14:paraId="4006BE57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B9332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89A3B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51-60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E3736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29,831 (28.5%)</w:t>
            </w:r>
          </w:p>
        </w:tc>
      </w:tr>
      <w:tr w14:paraId="57276179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8DE45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FABC2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61-70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B84B4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28,800 (27.5%)</w:t>
            </w:r>
          </w:p>
        </w:tc>
      </w:tr>
      <w:tr w14:paraId="1891412E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6F89D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94EE0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≥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7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245D1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20,989 (20.0%)</w:t>
            </w:r>
          </w:p>
        </w:tc>
      </w:tr>
      <w:tr w14:paraId="0E48424F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restart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DF1AF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Follow-up time (months)</w:t>
            </w: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60671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Mean (SD)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EBA36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122.11 (72.29)</w:t>
            </w:r>
          </w:p>
        </w:tc>
      </w:tr>
      <w:tr w14:paraId="5C2C9B62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0DEF9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7D8F6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Median (IQR)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35068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116.00 (56.00, 180.00)</w:t>
            </w:r>
          </w:p>
        </w:tc>
      </w:tr>
      <w:tr w14:paraId="0B428672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restart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7C87A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CIBC</w:t>
            </w: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1114AB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3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/>
              </w:rPr>
              <w:t>NO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E0E63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10,0771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 xml:space="preserve"> (</w:t>
            </w:r>
            <w:r>
              <w:rPr>
                <w:rFonts w:hint="eastAsia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96.2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%)</w:t>
            </w:r>
          </w:p>
        </w:tc>
      </w:tr>
      <w:tr w14:paraId="0C383535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BF296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DFF27F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3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/>
              </w:rPr>
              <w:t>YES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6DE55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3,965 (3.8%)</w:t>
            </w:r>
          </w:p>
        </w:tc>
      </w:tr>
      <w:tr w14:paraId="44A48F5A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restart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DCF321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highlight w:val="none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8090C"/>
                <w:sz w:val="24"/>
                <w:szCs w:val="24"/>
                <w:highlight w:val="none"/>
                <w:u w:val="none"/>
              </w:rPr>
              <w:t>Time</w:t>
            </w: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color w:val="08090C"/>
                <w:sz w:val="24"/>
                <w:szCs w:val="24"/>
                <w:highlight w:val="none"/>
                <w:u w:val="none"/>
                <w:lang w:val="en-US" w:eastAsia="zh-CN"/>
              </w:rPr>
              <w:t xml:space="preserve"> from diagnosis to CIBC</w:t>
            </w: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8090C"/>
                <w:sz w:val="24"/>
                <w:szCs w:val="24"/>
                <w:highlight w:val="none"/>
                <w:u w:val="none"/>
              </w:rPr>
              <w:t>(months)</w:t>
            </w: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20699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宋体" w:cs="Times New Roman"/>
                <w:b w:val="0"/>
                <w:i w:val="0"/>
                <w:color w:val="08090C"/>
                <w:sz w:val="24"/>
                <w:szCs w:val="24"/>
                <w:highlight w:val="none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highlight w:val="none"/>
                <w:u w:val="none"/>
              </w:rPr>
              <w:t>Mean (SD)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998756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highlight w:val="none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highlight w:val="none"/>
                <w:u w:val="none"/>
              </w:rPr>
              <w:t>88.11 (60.55)</w:t>
            </w:r>
          </w:p>
        </w:tc>
      </w:tr>
      <w:tr w14:paraId="09836AC2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39EEDB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8090C"/>
                <w:sz w:val="24"/>
                <w:szCs w:val="24"/>
                <w:highlight w:val="none"/>
                <w:u w:val="none"/>
              </w:rPr>
            </w:pP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259A5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宋体" w:cs="Times New Roman"/>
                <w:b w:val="0"/>
                <w:i w:val="0"/>
                <w:color w:val="08090C"/>
                <w:sz w:val="24"/>
                <w:szCs w:val="24"/>
                <w:highlight w:val="none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highlight w:val="none"/>
                <w:u w:val="none"/>
              </w:rPr>
              <w:t>Median (IQR)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E0F652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highlight w:val="none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highlight w:val="none"/>
                <w:u w:val="none"/>
              </w:rPr>
              <w:t>79.00 (37.00, 130.00)</w:t>
            </w:r>
          </w:p>
        </w:tc>
      </w:tr>
      <w:tr w14:paraId="66AE1BEC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restart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D66FD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Final status</w:t>
            </w: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44AAE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Alive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9F54E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85,850 (82.0%)</w:t>
            </w:r>
          </w:p>
        </w:tc>
      </w:tr>
      <w:tr w14:paraId="586F9C92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9BBDC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C9734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Breast Cancer Death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2889C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1,316 (1.3%)</w:t>
            </w:r>
          </w:p>
        </w:tc>
      </w:tr>
      <w:tr w14:paraId="513C7050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5A4DF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04DE4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Cardiovascular Death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60730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5,331 (5.1%)</w:t>
            </w:r>
          </w:p>
        </w:tc>
      </w:tr>
      <w:tr w14:paraId="2128D7C1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56F6E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60215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Other Cancer Death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A8354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3,750 (3.6%)</w:t>
            </w:r>
          </w:p>
        </w:tc>
      </w:tr>
      <w:tr w14:paraId="38CE6E4D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E629B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68B49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Other Non-Cancer Death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DF336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4,791 (4.6%)</w:t>
            </w:r>
          </w:p>
        </w:tc>
      </w:tr>
      <w:tr w14:paraId="4484988F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FA7B8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428FA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Unknown Cause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329AB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3,698 (3.5%)</w:t>
            </w:r>
          </w:p>
        </w:tc>
      </w:tr>
      <w:tr w14:paraId="03D4D883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restart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70E96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Laterality</w:t>
            </w: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8535D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Left - origin of primary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BAE2D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53,650 (51.2%)</w:t>
            </w:r>
          </w:p>
        </w:tc>
      </w:tr>
      <w:tr w14:paraId="6F227309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E187B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9E7E8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Right - origin of primary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4BFDE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51,086 (48.8%)</w:t>
            </w:r>
          </w:p>
        </w:tc>
      </w:tr>
      <w:tr w14:paraId="6641601B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restart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8BCD5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ER Status</w:t>
            </w: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AEC8F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Borderline/Unknown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E1F8E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28,032 (26.8%)</w:t>
            </w:r>
          </w:p>
        </w:tc>
      </w:tr>
      <w:tr w14:paraId="0AF04632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DF070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765A8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Negative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CF46D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11,371 (10.9%)</w:t>
            </w:r>
          </w:p>
        </w:tc>
      </w:tr>
      <w:tr w14:paraId="11EA51BE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71E25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3B7DE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Positive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016D7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65,333 (62.4%)</w:t>
            </w:r>
          </w:p>
        </w:tc>
      </w:tr>
      <w:tr w14:paraId="5207B934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restart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C1655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PR Status</w:t>
            </w: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5A61A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Borderline/Unknown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2B522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34,671 (33.1%)</w:t>
            </w:r>
          </w:p>
        </w:tc>
      </w:tr>
      <w:tr w14:paraId="6BE3A637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A78AC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A841D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Negative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4BA62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17,372 (16.6%)</w:t>
            </w:r>
          </w:p>
        </w:tc>
      </w:tr>
      <w:tr w14:paraId="4A635FCE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96770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7D165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Positive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BE02A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52,693 (50.3%)</w:t>
            </w:r>
          </w:p>
        </w:tc>
      </w:tr>
      <w:tr w14:paraId="46846867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restart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7BF24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Hormone Receptor Status</w:t>
            </w: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DBB7C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HR-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A0398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9,951 (9.5%)</w:t>
            </w:r>
          </w:p>
        </w:tc>
      </w:tr>
      <w:tr w14:paraId="3CF28B29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2E0BF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7392C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HR+ (ER+/PR+)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DB457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52,038 (49.7%)</w:t>
            </w:r>
          </w:p>
        </w:tc>
      </w:tr>
      <w:tr w14:paraId="335F34ED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D240B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03375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HR+ (Other)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14376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13,950 (13.3%)</w:t>
            </w:r>
          </w:p>
        </w:tc>
      </w:tr>
      <w:tr w14:paraId="295E7E8C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8946E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04B84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HR</w:t>
            </w:r>
            <w:r>
              <w:rPr>
                <w:rFonts w:hint="eastAsia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Equivocal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511E4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28,797 (27.5%)</w:t>
            </w:r>
          </w:p>
        </w:tc>
      </w:tr>
      <w:tr w14:paraId="2DE46176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restart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B8009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Grade</w:t>
            </w: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642EC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Ⅰ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3BD70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13,274 (12.7%)</w:t>
            </w:r>
          </w:p>
        </w:tc>
      </w:tr>
      <w:tr w14:paraId="7C7E1099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90B42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7AB6C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Ⅱ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0D59B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35,786 (34.2%)</w:t>
            </w:r>
          </w:p>
        </w:tc>
      </w:tr>
      <w:tr w14:paraId="5E5D7A00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81777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D2DC6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Ⅲ/Ⅳ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937F0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40,657 (38.8%)</w:t>
            </w:r>
          </w:p>
        </w:tc>
      </w:tr>
      <w:tr w14:paraId="352CEE45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31C6F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ED944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Unknown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BED36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15,019 (14.3%)</w:t>
            </w:r>
          </w:p>
        </w:tc>
      </w:tr>
      <w:tr w14:paraId="24658B14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restart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6AE4C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Histologic Subtype</w:t>
            </w: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EA093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Other ductal, not otherwise specified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2BC5A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64,944 (62.0%)</w:t>
            </w:r>
          </w:p>
        </w:tc>
      </w:tr>
      <w:tr w14:paraId="79EF985E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36920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CA407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Comedocarcinoma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8E78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12,680 (12.1%)</w:t>
            </w:r>
          </w:p>
        </w:tc>
      </w:tr>
      <w:tr w14:paraId="11B4266A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A591E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9DA8D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Cribriform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FE621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11,906 (11.4%)</w:t>
            </w:r>
          </w:p>
        </w:tc>
      </w:tr>
      <w:tr w14:paraId="6E5F56D2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C3C57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55696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Ductal, solid type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6E54F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8,286 (7.9%)</w:t>
            </w:r>
          </w:p>
        </w:tc>
      </w:tr>
      <w:tr w14:paraId="0E2BCC40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A2C8D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1064C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Micropapillary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37031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3,122 (3.0%)</w:t>
            </w:r>
          </w:p>
        </w:tc>
      </w:tr>
      <w:tr w14:paraId="7F41E429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B059F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CA766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Papillary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9FC32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3,798 (3.6%)</w:t>
            </w:r>
          </w:p>
        </w:tc>
      </w:tr>
      <w:tr w14:paraId="2D3C3809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restart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C1B70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Tumor Size Group</w:t>
            </w: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47379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≤2cm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0E738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63,229 (60.4%)</w:t>
            </w:r>
          </w:p>
        </w:tc>
      </w:tr>
      <w:tr w14:paraId="73943B40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49CD3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FB788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2-5cm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D0CA8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12,865 (12.3%)</w:t>
            </w:r>
          </w:p>
        </w:tc>
      </w:tr>
      <w:tr w14:paraId="789DFB68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1EE3B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2B790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&gt;5cm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DC662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3,190 (3.0%)</w:t>
            </w:r>
          </w:p>
        </w:tc>
      </w:tr>
      <w:tr w14:paraId="1A24900F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2AA93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E8DE7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Unknown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526AB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25,452 (24.3%)</w:t>
            </w:r>
          </w:p>
        </w:tc>
      </w:tr>
      <w:tr w14:paraId="6D1F9286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restart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B983C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Surgery Type</w:t>
            </w: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F8700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Lumpectomy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A11B3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84,087 (80.3%)</w:t>
            </w:r>
          </w:p>
        </w:tc>
      </w:tr>
      <w:tr w14:paraId="38D2EC29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36293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5420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Mastectomy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9E5C4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20,649 (19.7%)</w:t>
            </w:r>
          </w:p>
        </w:tc>
      </w:tr>
      <w:tr w14:paraId="4D66052D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restart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BFD87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Radiation</w:t>
            </w: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A82F2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NO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DE7D9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3,309 (3.2%)</w:t>
            </w:r>
          </w:p>
        </w:tc>
      </w:tr>
      <w:tr w14:paraId="76E597A5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1B0C1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409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FB6B4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YES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0AEE9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54,831 (52.4%)</w:t>
            </w:r>
          </w:p>
        </w:tc>
      </w:tr>
      <w:tr w14:paraId="1CE66A1C">
        <w:tblPrEx>
          <w:tblBorders>
            <w:top w:val="single" w:color="000000" w:themeColor="text1" w:sz="8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9" w:type="dxa"/>
            <w:vMerge w:val="continue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9C320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4098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A3122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Unknown</w:t>
            </w:r>
          </w:p>
        </w:tc>
        <w:tc>
          <w:tcPr>
            <w:tcW w:w="2723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CD70E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46,596 (44.5%)</w:t>
            </w:r>
          </w:p>
        </w:tc>
      </w:tr>
    </w:tbl>
    <w:p w14:paraId="27355BE8">
      <w:pPr>
        <w:spacing w:line="360" w:lineRule="auto"/>
        <w:jc w:val="left"/>
        <w:rPr>
          <w:rFonts w:ascii="Times New Roman" w:hAnsi="Times New Roman" w:cs="Times New Roman"/>
          <w:sz w:val="21"/>
          <w:szCs w:val="21"/>
        </w:rPr>
      </w:pPr>
      <w:bookmarkStart w:id="0" w:name="_GoBack"/>
      <w:r>
        <w:rPr>
          <w:rFonts w:ascii="Times New Roman" w:hAnsi="Times New Roman" w:cs="Times New Roman"/>
          <w:sz w:val="21"/>
          <w:szCs w:val="21"/>
        </w:rPr>
        <w:t>Note: continuous variables are presented as Mean (SD) and Median (IQR); categorical variables are presented as n (%).</w:t>
      </w:r>
    </w:p>
    <w:p w14:paraId="45139A17">
      <w:pPr>
        <w:widowControl/>
        <w:suppressAutoHyphens/>
        <w:kinsoku w:val="0"/>
        <w:overflowPunct w:val="0"/>
        <w:spacing w:line="360" w:lineRule="auto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Abbreviation:</w:t>
      </w:r>
      <w:r>
        <w:rPr>
          <w:rFonts w:hint="eastAsia" w:ascii="Times New Roman" w:hAnsi="Times New Roman" w:cs="Times New Roman"/>
          <w:sz w:val="21"/>
          <w:szCs w:val="21"/>
        </w:rPr>
        <w:t xml:space="preserve"> </w:t>
      </w:r>
      <w:r>
        <w:rPr>
          <w:rFonts w:ascii="Times New Roman" w:hAnsi="Times New Roman" w:cs="Times New Roman"/>
          <w:sz w:val="21"/>
          <w:szCs w:val="21"/>
        </w:rPr>
        <w:t xml:space="preserve">SD: </w:t>
      </w:r>
      <w:r>
        <w:rPr>
          <w:rFonts w:hint="eastAsia" w:ascii="Times New Roman" w:hAnsi="Times New Roman" w:cs="Times New Roman"/>
          <w:sz w:val="21"/>
          <w:szCs w:val="21"/>
        </w:rPr>
        <w:t>s</w:t>
      </w:r>
      <w:r>
        <w:rPr>
          <w:rFonts w:ascii="Times New Roman" w:hAnsi="Times New Roman" w:cs="Times New Roman"/>
          <w:sz w:val="21"/>
          <w:szCs w:val="21"/>
        </w:rPr>
        <w:t xml:space="preserve">tandard </w:t>
      </w:r>
      <w:r>
        <w:rPr>
          <w:rFonts w:hint="eastAsia" w:ascii="Times New Roman" w:hAnsi="Times New Roman" w:cs="Times New Roman"/>
          <w:sz w:val="21"/>
          <w:szCs w:val="21"/>
        </w:rPr>
        <w:t>d</w:t>
      </w:r>
      <w:r>
        <w:rPr>
          <w:rFonts w:ascii="Times New Roman" w:hAnsi="Times New Roman" w:cs="Times New Roman"/>
          <w:sz w:val="21"/>
          <w:szCs w:val="21"/>
        </w:rPr>
        <w:t xml:space="preserve">eviation; IQR: </w:t>
      </w:r>
      <w:r>
        <w:rPr>
          <w:rFonts w:hint="eastAsia" w:ascii="Times New Roman" w:hAnsi="Times New Roman" w:cs="Times New Roman"/>
          <w:sz w:val="21"/>
          <w:szCs w:val="21"/>
        </w:rPr>
        <w:t>i</w:t>
      </w:r>
      <w:r>
        <w:rPr>
          <w:rFonts w:ascii="Times New Roman" w:hAnsi="Times New Roman" w:cs="Times New Roman"/>
          <w:sz w:val="21"/>
          <w:szCs w:val="21"/>
        </w:rPr>
        <w:t xml:space="preserve">nterquartile </w:t>
      </w:r>
      <w:r>
        <w:rPr>
          <w:rFonts w:hint="eastAsia" w:ascii="Times New Roman" w:hAnsi="Times New Roman" w:cs="Times New Roman"/>
          <w:sz w:val="21"/>
          <w:szCs w:val="21"/>
        </w:rPr>
        <w:t>r</w:t>
      </w:r>
      <w:r>
        <w:rPr>
          <w:rFonts w:ascii="Times New Roman" w:hAnsi="Times New Roman" w:cs="Times New Roman"/>
          <w:sz w:val="21"/>
          <w:szCs w:val="21"/>
        </w:rPr>
        <w:t>ange</w:t>
      </w:r>
      <w:r>
        <w:rPr>
          <w:rFonts w:hint="eastAsia" w:ascii="Times New Roman" w:hAnsi="Times New Roman" w:cs="Times New Roman"/>
          <w:sz w:val="21"/>
          <w:szCs w:val="21"/>
        </w:rPr>
        <w:t xml:space="preserve">; </w:t>
      </w:r>
      <w:r>
        <w:rPr>
          <w:rFonts w:ascii="Times New Roman" w:hAnsi="Times New Roman" w:cs="Times New Roman"/>
          <w:sz w:val="21"/>
          <w:szCs w:val="21"/>
        </w:rPr>
        <w:t>CIBC:</w:t>
      </w:r>
      <w:r>
        <w:rPr>
          <w:rFonts w:hint="eastAsia" w:ascii="Times New Roman" w:hAnsi="Times New Roman" w:cs="Times New Roman"/>
          <w:sz w:val="21"/>
          <w:szCs w:val="21"/>
        </w:rPr>
        <w:t xml:space="preserve"> c</w:t>
      </w:r>
      <w:r>
        <w:rPr>
          <w:rFonts w:ascii="Times New Roman" w:hAnsi="Times New Roman" w:cs="Times New Roman"/>
          <w:sz w:val="21"/>
          <w:szCs w:val="21"/>
        </w:rPr>
        <w:t xml:space="preserve">ontralateral </w:t>
      </w:r>
      <w:r>
        <w:rPr>
          <w:rFonts w:hint="eastAsia" w:ascii="Times New Roman" w:hAnsi="Times New Roman" w:cs="Times New Roman"/>
          <w:sz w:val="21"/>
          <w:szCs w:val="21"/>
        </w:rPr>
        <w:t>i</w:t>
      </w:r>
      <w:r>
        <w:rPr>
          <w:rFonts w:ascii="Times New Roman" w:hAnsi="Times New Roman" w:cs="Times New Roman"/>
          <w:sz w:val="21"/>
          <w:szCs w:val="21"/>
        </w:rPr>
        <w:t xml:space="preserve">nvasive </w:t>
      </w:r>
      <w:r>
        <w:rPr>
          <w:rFonts w:hint="eastAsia" w:ascii="Times New Roman" w:hAnsi="Times New Roman" w:cs="Times New Roman"/>
          <w:sz w:val="21"/>
          <w:szCs w:val="21"/>
        </w:rPr>
        <w:t>b</w:t>
      </w:r>
      <w:r>
        <w:rPr>
          <w:rFonts w:ascii="Times New Roman" w:hAnsi="Times New Roman" w:cs="Times New Roman"/>
          <w:sz w:val="21"/>
          <w:szCs w:val="21"/>
        </w:rPr>
        <w:t xml:space="preserve">reast </w:t>
      </w:r>
      <w:r>
        <w:rPr>
          <w:rFonts w:hint="eastAsia" w:ascii="Times New Roman" w:hAnsi="Times New Roman" w:cs="Times New Roman"/>
          <w:sz w:val="21"/>
          <w:szCs w:val="21"/>
        </w:rPr>
        <w:t>c</w:t>
      </w:r>
      <w:r>
        <w:rPr>
          <w:rFonts w:ascii="Times New Roman" w:hAnsi="Times New Roman" w:cs="Times New Roman"/>
          <w:sz w:val="21"/>
          <w:szCs w:val="21"/>
        </w:rPr>
        <w:t>ancer</w:t>
      </w:r>
      <w:r>
        <w:rPr>
          <w:rFonts w:hint="eastAsia" w:ascii="Times New Roman" w:hAnsi="Times New Roman" w:cs="Times New Roman"/>
          <w:sz w:val="21"/>
          <w:szCs w:val="21"/>
        </w:rPr>
        <w:t>; HR-: ER-negative and PR-negative; HR+ (ER+/PR+): ER-positive and PR-positive; HR+ (Other): positive for either ER or PR, but not both; HR</w:t>
      </w:r>
      <w:r>
        <w:rPr>
          <w:sz w:val="21"/>
          <w:szCs w:val="21"/>
        </w:rPr>
        <w:t xml:space="preserve"> </w:t>
      </w:r>
      <w:r>
        <w:rPr>
          <w:rFonts w:ascii="Times New Roman" w:hAnsi="Times New Roman" w:cs="Times New Roman"/>
          <w:sz w:val="21"/>
          <w:szCs w:val="21"/>
        </w:rPr>
        <w:t>Equivocal</w:t>
      </w:r>
      <w:r>
        <w:rPr>
          <w:rFonts w:hint="eastAsia" w:ascii="Times New Roman" w:hAnsi="Times New Roman" w:cs="Times New Roman"/>
          <w:sz w:val="21"/>
          <w:szCs w:val="21"/>
        </w:rPr>
        <w:t>: neither ER nor PR was positive, with at least one being borderline or unknown.</w:t>
      </w:r>
    </w:p>
    <w:bookmarkEnd w:id="0"/>
    <w:p w14:paraId="6AC0583F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9AB6694"/>
    <w:rsid w:val="27EB43A6"/>
    <w:rsid w:val="30345287"/>
    <w:rsid w:val="344D592E"/>
    <w:rsid w:val="631F2860"/>
    <w:rsid w:val="651262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sz w:val="24"/>
      <w:szCs w:val="24"/>
      <w:lang w:val="en-US" w:eastAsia="en-US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323</Words>
  <Characters>1962</Characters>
  <Lines>0</Lines>
  <Paragraphs>0</Paragraphs>
  <TotalTime>0</TotalTime>
  <ScaleCrop>false</ScaleCrop>
  <LinksUpToDate>false</LinksUpToDate>
  <CharactersWithSpaces>2150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2026-05-31T12:24:00Z</dcterms:created>
  <dc:creator>guo</dc:creator>
  <cp:lastModifiedBy>WPS_1615004398</cp:lastModifiedBy>
  <dcterms:modified xsi:type="dcterms:W3CDTF">2026-07-16T14:27:35Z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eyJoZGlkIjoiMDY2NWRhZGRiYTA0OGVlOTRjOTZiM2FiMmYzMzE2MWYiLCJ1c2VySWQiOiIxMTc3NjYzMDMzIn0=</vt:lpwstr>
  </property>
  <property fmtid="{D5CDD505-2E9C-101B-9397-08002B2CF9AE}" pid="4" name="ICV">
    <vt:lpwstr>33633A5E38C845459EA469A57B1F7485_12</vt:lpwstr>
  </property>
</Properties>
</file>