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D3AA6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7. First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round minimally adjusted Fine-Gray competing risks analysis of candidate variables for CIBC in patients with DCIS.</w:t>
      </w:r>
    </w:p>
    <w:tbl>
      <w:tblPr>
        <w:tblStyle w:val="2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3698"/>
        <w:gridCol w:w="2253"/>
        <w:gridCol w:w="1135"/>
      </w:tblGrid>
      <w:tr w14:paraId="4FA30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97D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369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E6A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CB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 xml:space="preserve">HR </w:t>
            </w:r>
          </w:p>
          <w:p w14:paraId="3FC1BE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(95% CI)</w:t>
            </w:r>
          </w:p>
        </w:tc>
        <w:tc>
          <w:tcPr>
            <w:tcW w:w="11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790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P-Value</w:t>
            </w:r>
          </w:p>
        </w:tc>
      </w:tr>
      <w:tr w14:paraId="05A21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441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36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659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D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1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9D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4D64A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01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DA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4F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1.18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1.08 - 1.29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3A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104DF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E6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B63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40A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1.34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1.22 - 1.46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A0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1E5F2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7D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5A0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C9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1.05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0.95 - 1.16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8ED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0.320</w:t>
            </w:r>
          </w:p>
        </w:tc>
      </w:tr>
      <w:tr w14:paraId="5180B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31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Hormone receptor status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9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eastAsia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ref</w:t>
            </w:r>
            <w:r>
              <w:rPr>
                <w:rFonts w:hint="eastAsia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FF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20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1DF68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914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44B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4DF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1.05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0.93 - 1.18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602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0.410</w:t>
            </w:r>
          </w:p>
        </w:tc>
      </w:tr>
      <w:tr w14:paraId="002C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8E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64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A3D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1.00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0.87 - 1.16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363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0.950</w:t>
            </w:r>
          </w:p>
        </w:tc>
      </w:tr>
      <w:tr w14:paraId="24ECD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9D7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86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 Equivocal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4B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1.05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0.92 - 1.19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2C6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0.460</w:t>
            </w:r>
          </w:p>
        </w:tc>
      </w:tr>
      <w:tr w14:paraId="1C211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D8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Grade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943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43A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1FF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1D1E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C2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0E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87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0.94 - 1.16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90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0.430</w:t>
            </w:r>
          </w:p>
        </w:tc>
      </w:tr>
      <w:tr w14:paraId="66213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979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C5C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III/IV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64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0.88 - 1.07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A40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0.560</w:t>
            </w:r>
          </w:p>
        </w:tc>
      </w:tr>
      <w:tr w14:paraId="7A9EC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B3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403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009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0.88 - 1.11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1C2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0.900</w:t>
            </w:r>
          </w:p>
        </w:tc>
      </w:tr>
      <w:tr w14:paraId="1E79B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454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 subtype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D06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D0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47F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A4F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D8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D6B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1FB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0.90 - 1.09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E9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0.820</w:t>
            </w:r>
          </w:p>
        </w:tc>
      </w:tr>
      <w:tr w14:paraId="6E245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CD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62F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13F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0.87 - 1.06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D9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0.400</w:t>
            </w:r>
          </w:p>
        </w:tc>
      </w:tr>
      <w:tr w14:paraId="01C5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60D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E74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9B4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0.95 - 1.19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24A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0.310</w:t>
            </w:r>
          </w:p>
        </w:tc>
      </w:tr>
      <w:tr w14:paraId="78A2A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AB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8A9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2E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1.16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0.99 - 1.36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E95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0.058</w:t>
            </w:r>
          </w:p>
        </w:tc>
      </w:tr>
      <w:tr w14:paraId="10FB2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152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B4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1A7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0.89 - 1.22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9B0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0.630</w:t>
            </w:r>
          </w:p>
        </w:tc>
      </w:tr>
      <w:tr w14:paraId="4703C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6C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F2E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≤2cm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  <w:bookmarkStart w:id="0" w:name="_GoBack"/>
            <w:bookmarkEnd w:id="0"/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245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21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1730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A4E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728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FB3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1.03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0.93 - 1.14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BB7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0.570</w:t>
            </w:r>
          </w:p>
        </w:tc>
      </w:tr>
      <w:tr w14:paraId="05CD7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21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73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D7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1.24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1.03 - 1.49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58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0.021</w:t>
            </w:r>
          </w:p>
        </w:tc>
      </w:tr>
      <w:tr w14:paraId="661CD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A1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CA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75F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0.93 - 1.07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56D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0.870</w:t>
            </w:r>
          </w:p>
        </w:tc>
      </w:tr>
      <w:tr w14:paraId="5DD56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6BD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1A7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Lumpectomy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87D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68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8DC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BA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4D3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495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0.89 - 1.04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5E0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0.290</w:t>
            </w:r>
          </w:p>
        </w:tc>
      </w:tr>
      <w:tr w14:paraId="157E8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D6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FA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NO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71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19C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7D3D1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BF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CD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9B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0.71 - 1.07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E2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0.180</w:t>
            </w:r>
          </w:p>
        </w:tc>
      </w:tr>
      <w:tr w14:paraId="1B27E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4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B1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A28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25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2A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0.83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0.68 - 1.02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13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BA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0.083</w:t>
            </w:r>
          </w:p>
        </w:tc>
      </w:tr>
    </w:tbl>
    <w:p w14:paraId="09434B5E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HR: hazard ratio; CI: confidence interval; ref: reference category; CIBC: contralateral invasive breast cancer; DCIS: ductal carcinoma in situ; HR-: ER-negative and PR-negative; HR+ (ER+/PR+): ER-positive and PR-positive; HR+ (Other),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p w14:paraId="44FF8E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27D45"/>
    <w:rsid w:val="3B632B18"/>
    <w:rsid w:val="3F312661"/>
    <w:rsid w:val="43833B9D"/>
    <w:rsid w:val="4ADA2BF4"/>
    <w:rsid w:val="5D80466C"/>
    <w:rsid w:val="692D6C4F"/>
    <w:rsid w:val="6F291A04"/>
    <w:rsid w:val="76A6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1258</Characters>
  <Lines>0</Lines>
  <Paragraphs>0</Paragraphs>
  <TotalTime>0</TotalTime>
  <ScaleCrop>false</ScaleCrop>
  <LinksUpToDate>false</LinksUpToDate>
  <CharactersWithSpaces>1399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2026-04-26T02:22:00Z</dcterms:created>
  <dc:creator>guo</dc:creator>
  <cp:lastModifiedBy>WPS_1615004398</cp:lastModifiedBy>
  <dcterms:modified xsi:type="dcterms:W3CDTF">2026-08-26T08:03:06Z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E78B37BD2DB54EE6A5D03D2B7053A686_12</vt:lpwstr>
  </property>
</Properties>
</file>