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3869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9. PSH assumption test results for candidate variables in the second-round model in patients with DCIS.</w:t>
      </w:r>
    </w:p>
    <w:tbl>
      <w:tblPr>
        <w:tblStyle w:val="2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4415"/>
        <w:gridCol w:w="1485"/>
        <w:gridCol w:w="1644"/>
      </w:tblGrid>
      <w:tr w14:paraId="04468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F0C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441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6F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B6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KS P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value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AF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CvM P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value</w:t>
            </w:r>
          </w:p>
        </w:tc>
      </w:tr>
      <w:tr w14:paraId="24064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26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FE3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Hormone receptor status</w:t>
            </w:r>
          </w:p>
        </w:tc>
        <w:tc>
          <w:tcPr>
            <w:tcW w:w="441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B45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 xml:space="preserve"> (ref)</w:t>
            </w:r>
          </w:p>
        </w:tc>
        <w:tc>
          <w:tcPr>
            <w:tcW w:w="14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B45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11F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018FA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589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AD5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F62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56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74C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 w14:paraId="55BD4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466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9D3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028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9B3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41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 w14:paraId="37D57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356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BD6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 Equivocal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988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0.050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89D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AC41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D9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Grade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24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23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863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4D3C5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1D6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539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80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0.900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65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0.920</w:t>
            </w:r>
          </w:p>
        </w:tc>
      </w:tr>
      <w:tr w14:paraId="76F6C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05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CBA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III/IV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4A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0.890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593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0.750</w:t>
            </w:r>
          </w:p>
        </w:tc>
      </w:tr>
      <w:tr w14:paraId="1373C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DC3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C0A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84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0.350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0B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0.130</w:t>
            </w:r>
          </w:p>
        </w:tc>
      </w:tr>
      <w:tr w14:paraId="2567E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358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Histologic subtype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11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Ductal carcinoma NOS (ref)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7CF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0E0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39CE8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C6B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FF0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B6120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3CD0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0.940</w:t>
            </w:r>
          </w:p>
        </w:tc>
      </w:tr>
      <w:tr w14:paraId="47A2C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7300F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66E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5270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0.620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C4023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0.460</w:t>
            </w:r>
          </w:p>
        </w:tc>
      </w:tr>
      <w:tr w14:paraId="66C2A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77CB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F19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B7D3B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0.340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3C08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0.230</w:t>
            </w:r>
          </w:p>
        </w:tc>
      </w:tr>
      <w:tr w14:paraId="62FC5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1CA26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69F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AB0C7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0.030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F3BD4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0.010</w:t>
            </w:r>
          </w:p>
        </w:tc>
      </w:tr>
      <w:tr w14:paraId="08D30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823E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64C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8550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0.380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1629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0.710</w:t>
            </w:r>
          </w:p>
        </w:tc>
      </w:tr>
      <w:tr w14:paraId="5CAF5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D56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E8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Lumpectomy</w:t>
            </w:r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05D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4A770">
            <w:pPr>
              <w:keepNext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50C7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BF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144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6AF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0.830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2B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0.910</w:t>
            </w:r>
          </w:p>
        </w:tc>
      </w:tr>
      <w:tr w14:paraId="27961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7BC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B2F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NO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604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BA1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4BA66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E6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C84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B7C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0.540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487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0.430</w:t>
            </w:r>
          </w:p>
        </w:tc>
      </w:tr>
      <w:tr w14:paraId="0C18A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F06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41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C77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148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7E5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0.800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B5F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0.680</w:t>
            </w:r>
          </w:p>
        </w:tc>
      </w:tr>
    </w:tbl>
    <w:p w14:paraId="5AE87319">
      <w:pPr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bookmarkStart w:id="0" w:name="_GoBack"/>
      <w:r>
        <w:rPr>
          <w:rFonts w:hint="eastAsia" w:ascii="Times New Roman" w:hAnsi="Times New Roman" w:cs="Times New Roman"/>
          <w:sz w:val="21"/>
          <w:szCs w:val="21"/>
        </w:rPr>
        <w:t>Abbreviation: PSH: proportional subdistribution hazard; DCIS: ductal carcinoma in situ; ref: reference category; HR-: ER-negative and PR-negative; HR+ (ER+/PR+): ER-positive and PR-positive; HR+ (Other),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bookmarkEnd w:id="0"/>
    <w:p w14:paraId="34F213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504174"/>
    <w:rsid w:val="445930EE"/>
    <w:rsid w:val="4B876924"/>
    <w:rsid w:val="4ED41175"/>
    <w:rsid w:val="61C23CAD"/>
    <w:rsid w:val="63C743D7"/>
    <w:rsid w:val="66D55133"/>
    <w:rsid w:val="6EEB6B1D"/>
    <w:rsid w:val="7215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825</Characters>
  <Lines>0</Lines>
  <Paragraphs>0</Paragraphs>
  <TotalTime>0</TotalTime>
  <ScaleCrop>false</ScaleCrop>
  <LinksUpToDate>false</LinksUpToDate>
  <CharactersWithSpaces>908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2026-04-26T02:55:00Z</dcterms:created>
  <dc:creator>guo</dc:creator>
  <cp:lastModifiedBy>WPS_1615004398</cp:lastModifiedBy>
  <dcterms:modified xsi:type="dcterms:W3CDTF">2026-07-16T14:28:25Z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F2C86B78BB934348B8E8F2D740F044A1_12</vt:lpwstr>
  </property>
</Properties>
</file>