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CD2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 w:ascii="Arial" w:hAnsi="Arial" w:cs="Arial"/>
        </w:rPr>
        <w:t>Table I. Fixed-effect and landmark competing risks analysis of contralateral invasive breast cancer risk factors in ductal carcinoma in situ.</w:t>
      </w:r>
    </w:p>
    <w:tbl>
      <w:tblPr>
        <w:tblStyle w:val="8"/>
        <w:tblW w:w="987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6"/>
        <w:gridCol w:w="2802"/>
        <w:gridCol w:w="1979"/>
        <w:gridCol w:w="1438"/>
        <w:gridCol w:w="1825"/>
      </w:tblGrid>
      <w:tr w14:paraId="6BB1C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C718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Variable</w:t>
            </w:r>
          </w:p>
        </w:tc>
        <w:tc>
          <w:tcPr>
            <w:tcW w:w="280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82AB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Level</w:t>
            </w:r>
          </w:p>
        </w:tc>
        <w:tc>
          <w:tcPr>
            <w:tcW w:w="197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796E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Arial" w:hAnsi="Arial" w:eastAsia="宋体" w:cs="Arial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s</w:t>
            </w:r>
            <w:r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HR (95% CI)</w:t>
            </w:r>
          </w:p>
        </w:tc>
        <w:tc>
          <w:tcPr>
            <w:tcW w:w="143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3766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Arial" w:hAnsi="Arial" w:eastAsia="宋体" w:cs="Arial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P</w:t>
            </w:r>
            <w:r>
              <w:rPr>
                <w:rFonts w:hint="default" w:ascii="Arial" w:hAnsi="Arial" w:eastAsia="宋体" w:cs="Arial"/>
                <w:b w:val="0"/>
                <w:bCs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-</w:t>
            </w:r>
            <w:r>
              <w:rPr>
                <w:rFonts w:hint="default" w:ascii="Arial" w:hAnsi="Arial" w:eastAsia="宋体" w:cs="Arial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Value</w:t>
            </w:r>
          </w:p>
        </w:tc>
        <w:tc>
          <w:tcPr>
            <w:tcW w:w="18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68CD4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FDR</w:t>
            </w:r>
            <w:r>
              <w:rPr>
                <w:rFonts w:hint="eastAsia" w:ascii="Arial" w:hAnsi="Arial" w:eastAsia="宋体" w:cs="Arial"/>
                <w:b w:val="0"/>
                <w:bCs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-</w:t>
            </w:r>
            <w:r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adjusted P</w:t>
            </w:r>
          </w:p>
        </w:tc>
      </w:tr>
      <w:tr w14:paraId="5AD99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C37C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Age</w:t>
            </w:r>
            <w:r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:vertAlign w:val="superscript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2</w:t>
            </w:r>
          </w:p>
        </w:tc>
        <w:tc>
          <w:tcPr>
            <w:tcW w:w="280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9811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≤50 (ref)</w:t>
            </w:r>
          </w:p>
        </w:tc>
        <w:tc>
          <w:tcPr>
            <w:tcW w:w="197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7449C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143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9A18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24"/>
                <w:szCs w:val="24"/>
                <w:u w:val="none"/>
              </w:rPr>
            </w:pPr>
          </w:p>
        </w:tc>
        <w:tc>
          <w:tcPr>
            <w:tcW w:w="182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8BF7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24"/>
                <w:szCs w:val="24"/>
                <w:u w:val="none"/>
              </w:rPr>
            </w:pPr>
          </w:p>
        </w:tc>
      </w:tr>
      <w:tr w14:paraId="6D259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75CC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A7CDC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51-60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B28E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  <w:t>1.19</w:t>
            </w: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(</w:t>
            </w: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  <w:t>1.09 - 1.29</w:t>
            </w: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219D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  <w:t>&lt;0.001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84D5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</w:tr>
      <w:tr w14:paraId="0967F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9729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EFE9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Arial" w:hAnsi="Arial" w:eastAsia="宋体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color w:val="auto"/>
                <w:kern w:val="2"/>
                <w:sz w:val="24"/>
                <w:szCs w:val="24"/>
                <w:lang w:val="en-US" w:eastAsia="zh-CN" w:bidi="ar"/>
              </w:rPr>
              <w:t>61-70 (within 15 years)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B9608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  <w:t>1.43 (1.30-1.57)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7641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68A5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  <w:t>&lt;0.001</w:t>
            </w:r>
          </w:p>
        </w:tc>
      </w:tr>
      <w:tr w14:paraId="2E7F5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74F6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7DB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Arial" w:hAnsi="Arial" w:eastAsia="宋体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color w:val="auto"/>
                <w:kern w:val="2"/>
                <w:sz w:val="24"/>
                <w:szCs w:val="24"/>
                <w:lang w:val="en-US" w:eastAsia="zh-CN" w:bidi="ar"/>
              </w:rPr>
              <w:t>61-70 (after 15 years)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E612C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  <w:t>0.88 (0.64-1.20)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1AE5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CF82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0.671</w:t>
            </w:r>
          </w:p>
        </w:tc>
      </w:tr>
      <w:tr w14:paraId="25A95F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21C2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4A7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default" w:ascii="Arial" w:hAnsi="Arial" w:eastAsia="宋体" w:cs="Arial"/>
                <w:color w:val="auto"/>
                <w:kern w:val="2"/>
                <w:sz w:val="24"/>
                <w:szCs w:val="24"/>
                <w:lang w:val="en-US" w:eastAsia="zh-CN" w:bidi="ar"/>
              </w:rPr>
              <w:t>≥71 (within 9 years)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96C77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1.38 (1.23-1.55)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C4E7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FED3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  <w:t>&lt;0.001</w:t>
            </w:r>
          </w:p>
        </w:tc>
      </w:tr>
      <w:tr w14:paraId="5AAB8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F21A8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D9A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default" w:ascii="Arial" w:hAnsi="Arial" w:eastAsia="宋体" w:cs="Arial"/>
                <w:color w:val="auto"/>
                <w:kern w:val="2"/>
                <w:sz w:val="24"/>
                <w:szCs w:val="24"/>
                <w:lang w:val="en-US" w:eastAsia="zh-CN" w:bidi="ar"/>
              </w:rPr>
              <w:t>≥71 (after 9 years)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98CF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0.75 (0.62-0.92)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A560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3775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  <w:t>0.01</w:t>
            </w:r>
            <w:r>
              <w:rPr>
                <w:rFonts w:hint="default" w:ascii="Arial" w:hAnsi="Arial" w:eastAsia="宋体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7</w:t>
            </w:r>
          </w:p>
        </w:tc>
      </w:tr>
      <w:tr w14:paraId="7CC7A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11A2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Hormone receptor status</w:t>
            </w:r>
            <w:r>
              <w:rPr>
                <w:rFonts w:hint="default" w:ascii="Arial" w:hAnsi="Arial" w:eastAsia="宋体" w:cs="Arial"/>
                <w:b/>
                <w:bCs w:val="0"/>
                <w:i w:val="0"/>
                <w:color w:val="08090C"/>
                <w:sz w:val="24"/>
                <w:szCs w:val="24"/>
                <w:u w:val="none"/>
                <w:vertAlign w:val="superscript"/>
                <w:lang w:val="en-US" w:eastAsia="zh-CN"/>
              </w:rPr>
              <w:t>1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1A6B8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HR</w:t>
            </w:r>
            <w:r>
              <w:rPr>
                <w:rFonts w:hint="default" w:ascii="Arial" w:hAnsi="Arial" w:eastAsia="Arial" w:cs="Arial"/>
                <w:b w:val="0"/>
                <w:bCs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-</w:t>
            </w: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 xml:space="preserve"> (ref)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1DAD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6990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F4DB8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</w:tr>
      <w:tr w14:paraId="037012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81CA6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A6D47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HR+ (Other)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8A97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1.02</w:t>
            </w: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(0.88 - 1.18)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A45D0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  <w:t>0.810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BFE47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</w:tr>
      <w:tr w14:paraId="614837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25188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DFF14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HR+ (ER+/PR+)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45624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1.08 (0.96 - 1.22)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1DCB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  <w:t>0.200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0FC0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</w:tr>
      <w:tr w14:paraId="32DA48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DCC8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49DB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 xml:space="preserve">HR </w:t>
            </w:r>
            <w:r>
              <w:rPr>
                <w:rFonts w:hint="default" w:ascii="Arial" w:hAnsi="Arial" w:eastAsia="Arial" w:cs="Arial"/>
                <w:color w:val="08090C"/>
                <w:kern w:val="2"/>
                <w:sz w:val="24"/>
                <w:szCs w:val="24"/>
                <w:lang w:val="en-US" w:eastAsia="zh-CN" w:bidi="ar"/>
              </w:rPr>
              <w:t>Equivocal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DF468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1.07 (0.95-1.22)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93E80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  <w:t>0.270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91F5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</w:tr>
      <w:tr w14:paraId="2FFD5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6E2D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Grade</w:t>
            </w:r>
            <w:r>
              <w:rPr>
                <w:rFonts w:hint="default" w:ascii="Arial" w:hAnsi="Arial" w:eastAsia="宋体" w:cs="Arial"/>
                <w:b/>
                <w:bCs w:val="0"/>
                <w:i w:val="0"/>
                <w:color w:val="08090C"/>
                <w:sz w:val="24"/>
                <w:szCs w:val="24"/>
                <w:u w:val="none"/>
                <w:vertAlign w:val="superscript"/>
                <w:lang w:val="en-US" w:eastAsia="zh-CN"/>
              </w:rPr>
              <w:t>1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96A1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300" w:leftChars="0" w:right="100" w:rightChars="0" w:firstLine="0" w:firstLineChars="0"/>
              <w:jc w:val="center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color w:val="08090C"/>
                <w:sz w:val="24"/>
                <w:szCs w:val="24"/>
                <w:u w:val="none"/>
              </w:rPr>
              <w:t>I (ref)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FA527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 w:val="0"/>
                <w:i w:val="0"/>
                <w:color w:val="08090C"/>
                <w:sz w:val="24"/>
                <w:szCs w:val="24"/>
                <w:u w:val="no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color w:val="08090C"/>
                <w:sz w:val="24"/>
                <w:szCs w:val="24"/>
                <w:u w:val="none"/>
              </w:rPr>
              <w:t>1.00 (ref)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5BE9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24"/>
                <w:szCs w:val="24"/>
                <w:u w:val="none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A5670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24"/>
                <w:szCs w:val="24"/>
                <w:u w:val="none"/>
              </w:rPr>
            </w:pPr>
          </w:p>
        </w:tc>
      </w:tr>
      <w:tr w14:paraId="61F4B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19DD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65FF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Ⅱ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5159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1.04</w:t>
            </w: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 xml:space="preserve"> (</w:t>
            </w: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0.94 - 1.16</w:t>
            </w: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0DE4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0.420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6EE1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</w:tr>
      <w:tr w14:paraId="0599B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62EA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3761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Ⅲ/Ⅳ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55AD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0.96</w:t>
            </w: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0.87 - 1.07</w:t>
            </w: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ED1C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0.450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BD5E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</w:tr>
      <w:tr w14:paraId="08A92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24A5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C82D4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Unknown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45EA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1.00</w:t>
            </w: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0.88 - 1.12</w:t>
            </w: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AC757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0.940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278D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</w:tr>
      <w:tr w14:paraId="3B3929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6B140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  <w:t>Histologic</w:t>
            </w:r>
          </w:p>
          <w:p w14:paraId="26F31430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  <w:t>Subtype</w:t>
            </w:r>
            <w:r>
              <w:rPr>
                <w:rFonts w:hint="default" w:ascii="Arial" w:hAnsi="Arial" w:eastAsia="宋体" w:cs="Arial"/>
                <w:b/>
                <w:bCs w:val="0"/>
                <w:i w:val="0"/>
                <w:color w:val="08090C"/>
                <w:sz w:val="24"/>
                <w:szCs w:val="24"/>
                <w:u w:val="none"/>
                <w:vertAlign w:val="superscript"/>
                <w:lang w:val="en-US" w:eastAsia="zh-CN"/>
              </w:rPr>
              <w:t>2</w:t>
            </w:r>
          </w:p>
          <w:p w14:paraId="1247AAC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E0D7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300" w:leftChars="0" w:right="10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color w:val="08090C"/>
                <w:sz w:val="24"/>
                <w:szCs w:val="24"/>
                <w:u w:val="none"/>
              </w:rPr>
              <w:t>Ductal carcinoma NOS (ref)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DA70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300" w:leftChars="0" w:right="10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color w:val="08090C"/>
                <w:sz w:val="24"/>
                <w:szCs w:val="24"/>
                <w:u w:val="none"/>
              </w:rPr>
              <w:t>1.00 (ref)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3B7A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3BE1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</w:tr>
      <w:tr w14:paraId="6AEA3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6955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9E85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Arial" w:hAnsi="Arial" w:eastAsia="宋体" w:cs="Arial"/>
                <w:color w:val="auto"/>
                <w:kern w:val="2"/>
                <w:sz w:val="24"/>
                <w:szCs w:val="24"/>
                <w:lang w:val="en-US" w:eastAsia="zh-CN" w:bidi="ar"/>
              </w:rPr>
              <w:t>Micropapillary (within 9 years)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2836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1.52 (1.27-1.82)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000F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64658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  <w:t>&lt;0.001</w:t>
            </w:r>
          </w:p>
        </w:tc>
      </w:tr>
      <w:tr w14:paraId="03010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467D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715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Arial" w:hAnsi="Arial" w:eastAsia="宋体" w:cs="Arial"/>
                <w:color w:val="auto"/>
                <w:kern w:val="2"/>
                <w:sz w:val="24"/>
                <w:szCs w:val="24"/>
                <w:lang w:val="en-US" w:eastAsia="zh-CN" w:bidi="ar"/>
              </w:rPr>
              <w:t>Micropapillary (after 9 years)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F85B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0.62 (0.44-0.87)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03F50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368C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0.018</w:t>
            </w:r>
          </w:p>
        </w:tc>
      </w:tr>
      <w:tr w14:paraId="54F918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4EB9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FECB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Comedocarcinoma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0FBC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0.98</w:t>
            </w: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0.89 - 1.08</w:t>
            </w: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1F3E0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0.680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2490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</w:tr>
      <w:tr w14:paraId="6D31AC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E7A3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B6AA6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Cribriform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B557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0.96</w:t>
            </w: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0.87 - 1.06</w:t>
            </w: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F77D7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0.420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9AB7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</w:tr>
      <w:tr w14:paraId="0B625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4B7E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12E5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Ductal, solid type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6576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1.06</w:t>
            </w: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(0.94 - 1.19)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0839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0.320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F5A1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</w:tr>
      <w:tr w14:paraId="38F58C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92EF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AD8F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Papillary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C71F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1.03</w:t>
            </w: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(0.88 - 1.21)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D59F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0.700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1548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</w:tr>
      <w:tr w14:paraId="02F04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B612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300" w:leftChars="0" w:right="10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color w:val="000000"/>
                <w:sz w:val="24"/>
                <w:szCs w:val="24"/>
                <w:u w:val="none"/>
              </w:rPr>
              <w:t>Tumor Size Group</w:t>
            </w:r>
            <w:r>
              <w:rPr>
                <w:rFonts w:hint="default" w:ascii="Arial" w:hAnsi="Arial" w:eastAsia="宋体" w:cs="Arial"/>
                <w:b/>
                <w:bCs/>
                <w:i w:val="0"/>
                <w:color w:val="000000"/>
                <w:sz w:val="24"/>
                <w:szCs w:val="24"/>
                <w:u w:val="none"/>
                <w:vertAlign w:val="superscript"/>
                <w:lang w:val="en-US" w:eastAsia="zh-CN"/>
              </w:rPr>
              <w:t>2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7667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300" w:leftChars="0" w:right="10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 xml:space="preserve">≤2cm </w:t>
            </w:r>
            <w:r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(ref)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47E4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A545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6C13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</w:tr>
      <w:tr w14:paraId="00AE1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A526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4375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2-5cm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3962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1.03</w:t>
            </w: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(0.93 - 1.15)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5C30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0.510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47DCC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</w:tr>
      <w:tr w14:paraId="236F3D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FFB1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5707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&gt;5cm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58F7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1.26</w:t>
            </w: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(1.05 - 1.52)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D710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  <w:t>0.014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6AD4C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  <w:bookmarkStart w:id="1" w:name="_GoBack"/>
            <w:bookmarkEnd w:id="1"/>
          </w:p>
        </w:tc>
      </w:tr>
      <w:tr w14:paraId="091EC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A8DA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03AC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bCs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Arial" w:hAnsi="Arial" w:eastAsia="Arial" w:cs="Arial"/>
                <w:b w:val="0"/>
                <w:bCs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Unknow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6852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</w:rPr>
              <w:t>1.02</w:t>
            </w:r>
            <w:r>
              <w:rPr>
                <w:rFonts w:hint="eastAsia" w:ascii="Arial" w:hAnsi="Arial" w:eastAsia="宋体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(0.95 - 1.09)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6458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0.577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6C33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</w:tr>
      <w:tr w14:paraId="3F5D1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7FED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color w:val="000000"/>
                <w:sz w:val="24"/>
                <w:szCs w:val="24"/>
                <w:u w:val="none"/>
              </w:rPr>
              <w:t>Surgery Type</w:t>
            </w:r>
            <w:r>
              <w:rPr>
                <w:rFonts w:hint="default" w:ascii="Arial" w:hAnsi="Arial" w:eastAsia="宋体" w:cs="Arial"/>
                <w:b/>
                <w:bCs/>
                <w:i w:val="0"/>
                <w:color w:val="000000"/>
                <w:sz w:val="24"/>
                <w:szCs w:val="24"/>
                <w:u w:val="none"/>
                <w:vertAlign w:val="superscript"/>
                <w:lang w:val="en-US" w:eastAsia="zh-CN"/>
              </w:rPr>
              <w:t>1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6794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300" w:leftChars="0" w:right="10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 xml:space="preserve">Lumpectomy </w:t>
            </w:r>
            <w:r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(ref)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7240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5057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248E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</w:tr>
      <w:tr w14:paraId="01349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E096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59E4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Mastectomy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D8E3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0.95(0.88 - 1.03)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FB6DC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0.200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3DA0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0E6C6F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9351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color w:val="08090C"/>
                <w:sz w:val="24"/>
                <w:szCs w:val="24"/>
                <w:u w:val="none"/>
              </w:rPr>
              <w:t>Radiation</w:t>
            </w:r>
            <w:r>
              <w:rPr>
                <w:rFonts w:hint="default" w:ascii="Arial" w:hAnsi="Arial" w:eastAsia="宋体" w:cs="Arial"/>
                <w:b/>
                <w:bCs/>
                <w:i w:val="0"/>
                <w:color w:val="08090C"/>
                <w:sz w:val="24"/>
                <w:szCs w:val="24"/>
                <w:u w:val="none"/>
                <w:vertAlign w:val="superscript"/>
                <w:lang w:val="en-US" w:eastAsia="zh-CN"/>
              </w:rPr>
              <w:t>1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F57C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300" w:leftChars="0" w:right="10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color w:val="08090C"/>
                <w:sz w:val="24"/>
                <w:szCs w:val="24"/>
                <w:u w:val="none"/>
              </w:rPr>
              <w:t>NO</w:t>
            </w:r>
            <w:r>
              <w:rPr>
                <w:rFonts w:hint="default" w:ascii="Arial" w:hAnsi="Arial" w:eastAsia="宋体" w:cs="Arial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(ref)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0D154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2B9D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D7D5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</w:tr>
      <w:tr w14:paraId="3069CB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14F0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3F4D4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YES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69F5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0.87(0.70 - 1.06)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5CC4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0.170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F19F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367BD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6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317F6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E7D7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Unknown</w:t>
            </w:r>
          </w:p>
        </w:tc>
        <w:tc>
          <w:tcPr>
            <w:tcW w:w="197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272D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0.83(0.68 - 1.02)</w:t>
            </w:r>
          </w:p>
        </w:tc>
        <w:tc>
          <w:tcPr>
            <w:tcW w:w="143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64F7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0.085</w:t>
            </w:r>
          </w:p>
        </w:tc>
        <w:tc>
          <w:tcPr>
            <w:tcW w:w="182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2570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</w:p>
        </w:tc>
      </w:tr>
    </w:tbl>
    <w:p w14:paraId="281AE3A7">
      <w:pPr>
        <w:keepNext w:val="0"/>
        <w:keepLines w:val="0"/>
        <w:widowControl/>
        <w:suppressLineNumbers w:val="0"/>
        <w:suppressAutoHyphens/>
        <w:kinsoku w:val="0"/>
        <w:overflowPunct w:val="0"/>
        <w:spacing w:before="0" w:beforeAutospacing="0" w:after="0" w:afterAutospacing="0" w:line="360" w:lineRule="auto"/>
        <w:ind w:left="0" w:right="0"/>
        <w:jc w:val="left"/>
        <w:rPr>
          <w:rFonts w:hint="default" w:ascii="Arial" w:hAnsi="Arial" w:eastAsia="宋体" w:cs="Arial"/>
          <w:kern w:val="2"/>
          <w:sz w:val="21"/>
          <w:szCs w:val="21"/>
          <w:lang w:val="en-US" w:eastAsia="zh-CN" w:bidi="ar"/>
        </w:rPr>
      </w:pPr>
      <w:r>
        <w:rPr>
          <w:rFonts w:hint="default" w:ascii="Arial" w:hAnsi="Arial" w:eastAsia="宋体" w:cs="Arial"/>
          <w:kern w:val="2"/>
          <w:sz w:val="21"/>
          <w:szCs w:val="21"/>
          <w:lang w:val="en-US" w:eastAsia="zh-CN" w:bidi="ar"/>
        </w:rPr>
        <w:t>Abbreviation: HR: Hazard ratio; CI: confidence interval; ref: reference category; FDR</w:t>
      </w:r>
      <w:r>
        <w:rPr>
          <w:rFonts w:hint="default" w:ascii="Arial" w:hAnsi="Arial" w:eastAsia="宋体" w:cs="Arial"/>
          <w:kern w:val="2"/>
          <w:sz w:val="21"/>
          <w:szCs w:val="21"/>
          <w:lang w:val="en-US" w:eastAsia="zh-CN" w:bidi="ar"/>
        </w:rPr>
        <w:noBreakHyphen/>
      </w:r>
      <w:r>
        <w:rPr>
          <w:rFonts w:hint="default" w:ascii="Arial" w:hAnsi="Arial" w:eastAsia="宋体" w:cs="Arial"/>
          <w:kern w:val="2"/>
          <w:sz w:val="21"/>
          <w:szCs w:val="21"/>
          <w:lang w:val="en-US" w:eastAsia="zh-CN" w:bidi="ar"/>
        </w:rPr>
        <w:t>adjusted P: false discovery rate</w:t>
      </w:r>
      <w:r>
        <w:rPr>
          <w:rFonts w:hint="default" w:ascii="Arial" w:hAnsi="Arial" w:eastAsia="宋体" w:cs="Arial"/>
          <w:kern w:val="2"/>
          <w:sz w:val="21"/>
          <w:szCs w:val="21"/>
          <w:lang w:val="en-US" w:eastAsia="zh-CN" w:bidi="ar"/>
        </w:rPr>
        <w:noBreakHyphen/>
      </w:r>
      <w:r>
        <w:rPr>
          <w:rFonts w:hint="default" w:ascii="Arial" w:hAnsi="Arial" w:eastAsia="宋体" w:cs="Arial"/>
          <w:kern w:val="2"/>
          <w:sz w:val="21"/>
          <w:szCs w:val="21"/>
          <w:lang w:val="en-US" w:eastAsia="zh-CN" w:bidi="ar"/>
        </w:rPr>
        <w:t xml:space="preserve">adjusted P value; HR-: ER-negative and PR-negative; HR+ (ER+/PR+): ER-positive and PR-positive; HR+ (Other): positive for either ER or PR: but not both; HR </w:t>
      </w:r>
      <w:bookmarkStart w:id="0" w:name="_Hlk235131178"/>
      <w:r>
        <w:rPr>
          <w:rFonts w:hint="default" w:ascii="Arial" w:hAnsi="Arial" w:eastAsia="宋体" w:cs="Arial"/>
          <w:kern w:val="2"/>
          <w:sz w:val="21"/>
          <w:szCs w:val="21"/>
          <w:lang w:val="en-US" w:eastAsia="zh-CN" w:bidi="ar"/>
        </w:rPr>
        <w:t>Equivocal</w:t>
      </w:r>
      <w:bookmarkEnd w:id="0"/>
      <w:r>
        <w:rPr>
          <w:rFonts w:hint="default" w:ascii="Arial" w:hAnsi="Arial" w:eastAsia="宋体" w:cs="Arial"/>
          <w:kern w:val="2"/>
          <w:sz w:val="21"/>
          <w:szCs w:val="21"/>
          <w:lang w:val="en-US" w:eastAsia="zh-CN" w:bidi="ar"/>
        </w:rPr>
        <w:t>: neither ER nor PR was positive: with at least one being borderline or unknown.</w:t>
      </w:r>
    </w:p>
    <w:p w14:paraId="6C87C808">
      <w:pPr>
        <w:keepNext w:val="0"/>
        <w:keepLines w:val="0"/>
        <w:widowControl/>
        <w:suppressLineNumbers w:val="0"/>
        <w:suppressAutoHyphens/>
        <w:kinsoku w:val="0"/>
        <w:overflowPunct w:val="0"/>
        <w:spacing w:before="0" w:beforeAutospacing="0" w:after="0" w:afterAutospacing="0" w:line="360" w:lineRule="auto"/>
        <w:ind w:left="0" w:right="0"/>
        <w:jc w:val="left"/>
        <w:rPr>
          <w:rFonts w:hint="default" w:ascii="Arial" w:hAnsi="Arial" w:eastAsia="宋体" w:cs="Arial"/>
          <w:kern w:val="2"/>
          <w:sz w:val="21"/>
          <w:szCs w:val="21"/>
          <w:lang w:val="en-US" w:eastAsia="zh-CN" w:bidi="ar"/>
        </w:rPr>
      </w:pPr>
      <w:r>
        <w:rPr>
          <w:rFonts w:hint="default" w:ascii="Arial" w:hAnsi="Arial" w:eastAsia="宋体" w:cs="Arial"/>
          <w:kern w:val="2"/>
          <w:sz w:val="21"/>
          <w:szCs w:val="21"/>
          <w:lang w:val="en-US" w:eastAsia="zh-CN" w:bidi="ar"/>
        </w:rPr>
        <w:t xml:space="preserve">Notes: </w:t>
      </w:r>
      <w:r>
        <w:rPr>
          <w:rFonts w:hint="default" w:ascii="Arial" w:hAnsi="Arial" w:eastAsia="宋体" w:cs="Arial"/>
          <w:kern w:val="2"/>
          <w:sz w:val="21"/>
          <w:szCs w:val="21"/>
          <w:vertAlign w:val="superscript"/>
          <w:lang w:val="en-US" w:eastAsia="zh-CN" w:bidi="ar"/>
        </w:rPr>
        <w:t>1</w:t>
      </w:r>
      <w:r>
        <w:rPr>
          <w:rFonts w:hint="default" w:ascii="Arial" w:hAnsi="Arial" w:eastAsia="宋体" w:cs="Arial"/>
          <w:kern w:val="2"/>
          <w:sz w:val="21"/>
          <w:szCs w:val="21"/>
          <w:lang w:val="en-US" w:eastAsia="zh-CN" w:bidi="ar"/>
        </w:rPr>
        <w:t>Results from the second-round minimally-adjusted Fine-Gray competing-risks model.</w:t>
      </w:r>
    </w:p>
    <w:p w14:paraId="6A96F264">
      <w:pPr>
        <w:keepNext w:val="0"/>
        <w:keepLines w:val="0"/>
        <w:widowControl/>
        <w:suppressLineNumbers w:val="0"/>
        <w:suppressAutoHyphens/>
        <w:kinsoku w:val="0"/>
        <w:overflowPunct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</w:pPr>
      <w:r>
        <w:rPr>
          <w:rFonts w:hint="default" w:ascii="Arial" w:hAnsi="Arial" w:eastAsia="宋体" w:cs="Arial"/>
          <w:kern w:val="2"/>
          <w:sz w:val="21"/>
          <w:szCs w:val="21"/>
          <w:vertAlign w:val="superscript"/>
          <w:lang w:val="en-US" w:eastAsia="zh-CN" w:bidi="ar"/>
        </w:rPr>
        <w:t>2</w:t>
      </w:r>
      <w:r>
        <w:rPr>
          <w:rFonts w:hint="default" w:ascii="Arial" w:hAnsi="Arial" w:eastAsia="宋体" w:cs="Arial"/>
          <w:kern w:val="2"/>
          <w:sz w:val="21"/>
          <w:szCs w:val="21"/>
          <w:lang w:val="en-US" w:eastAsia="zh-CN" w:bidi="ar"/>
        </w:rPr>
        <w:t>Final multivariable Fine-Gray competing-risks model. Confounder-adjusted estimates for PSH-compliant variables were directly extracted from the final model. For PSH-violating variables, landmark competing-risks analyses were implemented at sHR(t) turning-points, obtaining subdistribution hazard ratios before and after the landmark cut-offs.</w:t>
      </w:r>
    </w:p>
    <w:p w14:paraId="18FAC433">
      <w:pPr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 w:eastAsiaTheme="minorEastAsia"/>
          <w:sz w:val="22"/>
          <w:szCs w:val="22"/>
          <w:lang w:val="en-US" w:eastAsia="zh-CN"/>
        </w:rPr>
      </w:pPr>
    </w:p>
    <w:sectPr>
      <w:type w:val="continuous"/>
      <w:pgSz w:w="11906" w:h="16838"/>
      <w:pgMar w:top="1417" w:right="1417" w:bottom="1417" w:left="1417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Grande">
    <w:altName w:val="Courier New"/>
    <w:panose1 w:val="020B0600040502020204"/>
    <w:charset w:val="00"/>
    <w:family w:val="auto"/>
    <w:pitch w:val="default"/>
    <w:sig w:usb0="00000000" w:usb1="00000000" w:usb2="00000000" w:usb3="00000000" w:csb0="000001B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925FD"/>
    <w:multiLevelType w:val="multilevel"/>
    <w:tmpl w:val="07E925FD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3"/>
      <w:lvlText w:val="%1.%2."/>
      <w:lvlJc w:val="left"/>
      <w:pPr>
        <w:ind w:left="792" w:hanging="432"/>
      </w:pPr>
    </w:lvl>
    <w:lvl w:ilvl="2" w:tentative="0">
      <w:start w:val="1"/>
      <w:numFmt w:val="decimal"/>
      <w:pStyle w:val="4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5B21C01"/>
    <w:rsid w:val="0B9A0E8D"/>
    <w:rsid w:val="10442469"/>
    <w:rsid w:val="12DA083F"/>
    <w:rsid w:val="16700F38"/>
    <w:rsid w:val="18DA49F9"/>
    <w:rsid w:val="1BA810E4"/>
    <w:rsid w:val="1C187F02"/>
    <w:rsid w:val="1CCB1CCC"/>
    <w:rsid w:val="20815420"/>
    <w:rsid w:val="208211C5"/>
    <w:rsid w:val="214C6BAE"/>
    <w:rsid w:val="25983E4C"/>
    <w:rsid w:val="27F72D6A"/>
    <w:rsid w:val="29C43D12"/>
    <w:rsid w:val="2AA7163C"/>
    <w:rsid w:val="32B405F9"/>
    <w:rsid w:val="335F7687"/>
    <w:rsid w:val="37EB6654"/>
    <w:rsid w:val="471A409C"/>
    <w:rsid w:val="48E42097"/>
    <w:rsid w:val="4ABE10D9"/>
    <w:rsid w:val="50A32F1C"/>
    <w:rsid w:val="526F11BE"/>
    <w:rsid w:val="527F73DD"/>
    <w:rsid w:val="53D46318"/>
    <w:rsid w:val="5A581238"/>
    <w:rsid w:val="5B8961E4"/>
    <w:rsid w:val="5BC37291"/>
    <w:rsid w:val="5DF95866"/>
    <w:rsid w:val="5F0F63C3"/>
    <w:rsid w:val="63B84DB5"/>
    <w:rsid w:val="64D20AF0"/>
    <w:rsid w:val="67C22FD5"/>
    <w:rsid w:val="6ADE1368"/>
    <w:rsid w:val="6C901F13"/>
    <w:rsid w:val="72712DDB"/>
    <w:rsid w:val="74BE46B8"/>
    <w:rsid w:val="768D3A6A"/>
    <w:rsid w:val="77300E0C"/>
    <w:rsid w:val="776D01DA"/>
    <w:rsid w:val="777B0924"/>
    <w:rsid w:val="77AF0238"/>
    <w:rsid w:val="7890030D"/>
    <w:rsid w:val="78920AD2"/>
    <w:rsid w:val="7FC712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0"/>
    <w:semiHidden/>
    <w:unhideWhenUsed/>
    <w:qFormat/>
    <w:uiPriority w:val="99"/>
    <w:rPr>
      <w:rFonts w:ascii="Lucida Grande" w:hAnsi="Lucida Grande"/>
      <w:sz w:val="18"/>
      <w:szCs w:val="18"/>
    </w:rPr>
  </w:style>
  <w:style w:type="paragraph" w:styleId="6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7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table" w:styleId="9">
    <w:name w:val="Table Professional"/>
    <w:basedOn w:val="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10">
    <w:name w:val="Light List Accent 2"/>
    <w:basedOn w:val="8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customStyle="1" w:styleId="12">
    <w:name w:val="strong"/>
    <w:basedOn w:val="11"/>
    <w:qFormat/>
    <w:uiPriority w:val="1"/>
    <w:rPr>
      <w:b/>
    </w:rPr>
  </w:style>
  <w:style w:type="paragraph" w:customStyle="1" w:styleId="13">
    <w:name w:val="centered"/>
    <w:basedOn w:val="1"/>
    <w:qFormat/>
    <w:uiPriority w:val="0"/>
    <w:pPr>
      <w:jc w:val="center"/>
    </w:pPr>
  </w:style>
  <w:style w:type="table" w:customStyle="1" w:styleId="14">
    <w:name w:val="table_template"/>
    <w:basedOn w:val="8"/>
    <w:qFormat/>
    <w:uiPriority w:val="59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Titre 2 Car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7">
    <w:name w:val="Titre 3 Car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</w:rPr>
  </w:style>
  <w:style w:type="paragraph" w:customStyle="1" w:styleId="18">
    <w:name w:val="Image Caption"/>
    <w:basedOn w:val="1"/>
    <w:qFormat/>
    <w:uiPriority w:val="0"/>
    <w:pPr>
      <w:jc w:val="center"/>
    </w:pPr>
    <w:rPr>
      <w:b/>
      <w:i/>
    </w:rPr>
  </w:style>
  <w:style w:type="paragraph" w:customStyle="1" w:styleId="19">
    <w:name w:val="Table Caption"/>
    <w:basedOn w:val="18"/>
    <w:qFormat/>
    <w:uiPriority w:val="0"/>
  </w:style>
  <w:style w:type="character" w:customStyle="1" w:styleId="20">
    <w:name w:val="Texte de bulles Car"/>
    <w:basedOn w:val="11"/>
    <w:link w:val="5"/>
    <w:semiHidden/>
    <w:qFormat/>
    <w:uiPriority w:val="99"/>
    <w:rPr>
      <w:rFonts w:ascii="Lucida Grande" w:hAnsi="Lucida Grande"/>
      <w:sz w:val="18"/>
      <w:szCs w:val="18"/>
    </w:rPr>
  </w:style>
  <w:style w:type="character" w:customStyle="1" w:styleId="21">
    <w:name w:val="reference_id"/>
    <w:basedOn w:val="11"/>
    <w:qFormat/>
    <w:uiPriority w:val="1"/>
    <w:rPr>
      <w:vertAlign w:val="superscript"/>
    </w:rPr>
  </w:style>
  <w:style w:type="paragraph" w:customStyle="1" w:styleId="22">
    <w:name w:val="graphic title"/>
    <w:basedOn w:val="18"/>
    <w:next w:val="1"/>
    <w:qFormat/>
    <w:uiPriority w:val="0"/>
  </w:style>
  <w:style w:type="paragraph" w:customStyle="1" w:styleId="23">
    <w:name w:val="table title"/>
    <w:basedOn w:val="19"/>
    <w:next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299</Words>
  <Characters>1789</Characters>
  <Lines>0</Lines>
  <Paragraphs>0</Paragraphs>
  <TotalTime>18</TotalTime>
  <ScaleCrop>false</ScaleCrop>
  <LinksUpToDate>false</LinksUpToDate>
  <CharactersWithSpaces>1991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  <dc:creator>WPS_1615004398</dc:creator>
  <cp:lastModifiedBy>WPS_1615004398</cp:lastModifiedBy>
  <dcterms:modified xsi:type="dcterms:W3CDTF">2026-08-30T02:55:15Z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eyJoZGlkIjoiMDY2NWRhZGRiYTA0OGVlOTRjOTZiM2FiMmYzMzE2MWYiLCJ1c2VySWQiOiIxMTc3NjYzMDMzIn0=</vt:lpwstr>
  </property>
  <property fmtid="{D5CDD505-2E9C-101B-9397-08002B2CF9AE}" pid="3" name="KSOProductBuildVer">
    <vt:lpwstr>2052-12.1.0.28043</vt:lpwstr>
  </property>
  <property fmtid="{D5CDD505-2E9C-101B-9397-08002B2CF9AE}" pid="4" name="ICV">
    <vt:lpwstr>D3C33ADBA8054A1080E8DB75AC08BBA5_13</vt:lpwstr>
  </property>
</Properties>
</file>