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1B066">
      <w:pPr>
        <w:spacing w:line="360" w:lineRule="auto"/>
      </w:pPr>
      <w:r>
        <w:rPr>
          <w:rFonts w:hint="eastAsia" w:ascii="Times New Roman" w:hAnsi="Times New Roman" w:cs="Times New Roman"/>
          <w:b/>
          <w:bCs/>
          <w:sz w:val="24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sz w:val="24"/>
        </w:rPr>
        <w:t>. Fixed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effect and landmark Fine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Gray competing risks analysis of CIBC risk factors in Black and White patients with DCIS.</w:t>
      </w:r>
    </w:p>
    <w:tbl>
      <w:tblPr>
        <w:tblStyle w:val="8"/>
        <w:tblW w:w="1417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2308"/>
        <w:gridCol w:w="1873"/>
        <w:gridCol w:w="1216"/>
        <w:gridCol w:w="2103"/>
        <w:gridCol w:w="1873"/>
        <w:gridCol w:w="1144"/>
        <w:gridCol w:w="2104"/>
      </w:tblGrid>
      <w:tr w14:paraId="6EFBF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C718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230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82AB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18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796E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HR(95%CI)</w:t>
            </w:r>
          </w:p>
        </w:tc>
        <w:tc>
          <w:tcPr>
            <w:tcW w:w="12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3766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P</w:t>
            </w:r>
            <w:r>
              <w:rPr>
                <w:rFonts w:hint="eastAsia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Value</w:t>
            </w:r>
          </w:p>
        </w:tc>
        <w:tc>
          <w:tcPr>
            <w:tcW w:w="210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68CD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FDR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‑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adjustedP</w:t>
            </w:r>
          </w:p>
        </w:tc>
        <w:tc>
          <w:tcPr>
            <w:tcW w:w="18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1561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en-US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HR(95%CI)</w:t>
            </w:r>
          </w:p>
        </w:tc>
        <w:tc>
          <w:tcPr>
            <w:tcW w:w="114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0D2E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P</w:t>
            </w:r>
            <w:r>
              <w:rPr>
                <w:rFonts w:hint="eastAsia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Value</w:t>
            </w:r>
          </w:p>
        </w:tc>
        <w:tc>
          <w:tcPr>
            <w:tcW w:w="21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E61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en-US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FDR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‑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adjustedP</w:t>
            </w:r>
          </w:p>
        </w:tc>
      </w:tr>
      <w:tr w14:paraId="09D1E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190C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23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DCD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519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5BBB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Black</w:t>
            </w:r>
          </w:p>
        </w:tc>
        <w:tc>
          <w:tcPr>
            <w:tcW w:w="512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053C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White</w:t>
            </w:r>
          </w:p>
        </w:tc>
      </w:tr>
      <w:tr w14:paraId="7FF97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37C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9811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50（ref）</w:t>
            </w:r>
          </w:p>
        </w:tc>
        <w:tc>
          <w:tcPr>
            <w:tcW w:w="187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7449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2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A18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10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BF7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187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2A60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11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2376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1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C5E1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</w:rPr>
            </w:pPr>
          </w:p>
        </w:tc>
      </w:tr>
      <w:tr w14:paraId="2C915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5CC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7CD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51-60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B28E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1.39(1.08-1.78)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219D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0.009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84D5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09A1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1.16(1.06 - 1.27)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9701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0.002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793D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2ADCB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9729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EFE9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61-70</w:t>
            </w:r>
          </w:p>
        </w:tc>
        <w:tc>
          <w:tcPr>
            <w:tcW w:w="187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B960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1.64(1.28-2.11)</w:t>
            </w:r>
          </w:p>
        </w:tc>
        <w:tc>
          <w:tcPr>
            <w:tcW w:w="12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7641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&lt;0.001</w:t>
            </w:r>
          </w:p>
        </w:tc>
        <w:tc>
          <w:tcPr>
            <w:tcW w:w="2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68A5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6D38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1.39 (1.26-1.54)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 w:bidi="ar-SA"/>
              </w:rPr>
              <w:t>1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1102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133A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&lt;0.001</w:t>
            </w:r>
          </w:p>
        </w:tc>
      </w:tr>
      <w:tr w14:paraId="09938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74F6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7DB8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87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E612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12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1AE5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CF82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B3E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0.83 (0.60-1.16)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 w:bidi="ar-SA"/>
              </w:rPr>
              <w:t>1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F75C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0280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0.643</w:t>
            </w:r>
          </w:p>
        </w:tc>
      </w:tr>
      <w:tr w14:paraId="0B568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21C2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4A7D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≥71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96C7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1.42 (0.99-2.04)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C4E7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FED3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0.269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7913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1.37 (1.21-1.55)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6977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844F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&lt;0.001</w:t>
            </w:r>
          </w:p>
        </w:tc>
      </w:tr>
      <w:tr w14:paraId="58C12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1CD0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30A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72B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0.85 (0.46-1.57)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8076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2AC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0.775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CFBD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0.73 (0.60-0.90)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 w:bidi="ar-SA"/>
              </w:rPr>
              <w:t>2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F77A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5AD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0.016</w:t>
            </w:r>
          </w:p>
        </w:tc>
      </w:tr>
      <w:tr w14:paraId="6E2A6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7AAC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Histologic subtype</w:t>
            </w: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E0D7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Ductal carcinoma NOS (ref)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DA70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3B7A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3BE1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66DE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A994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701D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1AFA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6955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30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9E85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Micropapillary</w:t>
            </w:r>
          </w:p>
        </w:tc>
        <w:tc>
          <w:tcPr>
            <w:tcW w:w="187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2836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1.48(1.02-2.15)</w:t>
            </w:r>
          </w:p>
        </w:tc>
        <w:tc>
          <w:tcPr>
            <w:tcW w:w="12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6465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0.037</w:t>
            </w:r>
          </w:p>
        </w:tc>
        <w:tc>
          <w:tcPr>
            <w:tcW w:w="2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4DAA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F8A1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1.50 (1.24-1.82)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8CB0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3AA5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&lt;0.001</w:t>
            </w:r>
          </w:p>
        </w:tc>
      </w:tr>
      <w:tr w14:paraId="7EF73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467D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715C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</w:p>
        </w:tc>
        <w:tc>
          <w:tcPr>
            <w:tcW w:w="187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F85B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2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368C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C86A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CC56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0.58 (0.40-0.85)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09C5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A60D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0.021</w:t>
            </w:r>
          </w:p>
        </w:tc>
      </w:tr>
      <w:tr w14:paraId="3CBE3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4EB9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FECB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0FBC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0.88(0.66-1.17)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F3E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0.360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2490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4423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1.00(0.90 - 1.10)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B9F3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0.930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2C63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</w:tr>
      <w:tr w14:paraId="50249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E7A3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B6AA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B557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0.80(0.59-1.09)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F77D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0.160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9AB7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3F04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0.98(0.88 - 1.09)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DF4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0.720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492F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</w:tr>
      <w:tr w14:paraId="30E34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4B7E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2E5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6576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1.06(0.75-1.50)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0839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0.760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F5A1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8B2C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1.06(0.94 - 1.20)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718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0.340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52C0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</w:tr>
      <w:tr w14:paraId="63E25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92EF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AD8F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C71F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0.85(0.57 - 1.28)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D59F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0.450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1548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4AD0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1.07(0.90 - 1.27)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CACB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0.120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F66C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</w:tr>
      <w:tr w14:paraId="2B756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612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7667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≤2cm</w:t>
            </w:r>
            <w:r>
              <w:rPr>
                <w:rFonts w:hint="eastAsia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(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ref</w:t>
            </w:r>
            <w:r>
              <w:rPr>
                <w:rFonts w:hint="eastAsia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47E4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A545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6C13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F15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04AB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65C7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5911A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left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526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4375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2-5cm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3962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0.86(0.63-1.18)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C30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0.350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47DC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A68D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1.06(0.95 - 1.19)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F853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0.280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0964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1B89F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left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FFB1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707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&gt;</w:t>
            </w: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5cm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58F7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1.46(0.96-2.22)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710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0.074</w:t>
            </w:r>
          </w:p>
        </w:tc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AD4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8E87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1.22(1.03-1.45)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9AEB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0.036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731B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  <w:tr w14:paraId="0899D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2" w:type="dxa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12E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30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B64BF">
            <w:pPr>
              <w:keepNext w:val="0"/>
              <w:keepLines w:val="0"/>
              <w:widowControl w:val="0"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/>
              <w:ind w:left="0" w:leftChars="0" w:right="0" w:right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8090C"/>
                <w:kern w:val="2"/>
                <w:sz w:val="24"/>
                <w:szCs w:val="24"/>
                <w:lang w:val="en-US" w:eastAsia="zh-CN" w:bidi="ar"/>
              </w:rPr>
              <w:t>Unknow</w:t>
            </w:r>
            <w:r>
              <w:rPr>
                <w:rFonts w:hint="eastAsia" w:ascii="Times New Roman" w:hAnsi="Times New Roman" w:eastAsia="宋体" w:cs="Times New Roman"/>
                <w:color w:val="08090C"/>
                <w:kern w:val="2"/>
                <w:sz w:val="24"/>
                <w:szCs w:val="24"/>
                <w:lang w:val="en-US" w:eastAsia="zh-CN" w:bidi="ar"/>
              </w:rPr>
              <w:t>n</w:t>
            </w:r>
            <w:bookmarkStart w:id="0" w:name="_GoBack"/>
            <w:bookmarkEnd w:id="0"/>
          </w:p>
        </w:tc>
        <w:tc>
          <w:tcPr>
            <w:tcW w:w="187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B02B3">
            <w:pPr>
              <w:keepNext w:val="0"/>
              <w:keepLines w:val="0"/>
              <w:widowControl w:val="0"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/>
              <w:ind w:left="0" w:leftChars="0" w:right="0" w:rightChars="0"/>
              <w:jc w:val="center"/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Arial" w:cs="Times New Roman"/>
                <w:color w:val="08090C"/>
                <w:kern w:val="2"/>
                <w:sz w:val="24"/>
                <w:szCs w:val="24"/>
                <w:lang w:val="en-US" w:eastAsia="zh-CN" w:bidi="ar"/>
              </w:rPr>
              <w:t>1.11</w:t>
            </w:r>
            <w:r>
              <w:rPr>
                <w:rFonts w:hint="default" w:ascii="Times New Roman" w:hAnsi="Times New Roman" w:eastAsia="宋体" w:cs="Times New Roman"/>
                <w:color w:val="08090C"/>
                <w:kern w:val="2"/>
                <w:sz w:val="24"/>
                <w:szCs w:val="24"/>
                <w:lang w:val="en-US" w:eastAsia="zh-CN" w:bidi="ar"/>
              </w:rPr>
              <w:t>(0.99-1.25)</w:t>
            </w:r>
          </w:p>
        </w:tc>
        <w:tc>
          <w:tcPr>
            <w:tcW w:w="121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98AFA">
            <w:pPr>
              <w:keepNext w:val="0"/>
              <w:keepLines w:val="0"/>
              <w:widowControl w:val="0"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/>
              <w:ind w:left="0" w:leftChars="0" w:right="0" w:rightChars="0"/>
              <w:jc w:val="center"/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8090C"/>
                <w:kern w:val="2"/>
                <w:sz w:val="24"/>
                <w:szCs w:val="24"/>
                <w:lang w:val="en-US" w:eastAsia="zh-CN" w:bidi="ar"/>
              </w:rPr>
              <w:t>0.082</w:t>
            </w:r>
          </w:p>
        </w:tc>
        <w:tc>
          <w:tcPr>
            <w:tcW w:w="210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9540D">
            <w:pPr>
              <w:keepNext w:val="0"/>
              <w:keepLines w:val="0"/>
              <w:widowControl w:val="0"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/>
              <w:ind w:left="0" w:leftChars="0" w:right="0" w:right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8F331">
            <w:pPr>
              <w:keepNext w:val="0"/>
              <w:keepLines w:val="0"/>
              <w:widowControl w:val="0"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/>
              <w:ind w:left="0" w:leftChars="0" w:right="0" w:rightChars="0"/>
              <w:jc w:val="center"/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8090C"/>
                <w:kern w:val="2"/>
                <w:sz w:val="24"/>
                <w:szCs w:val="24"/>
                <w:lang w:val="en-US" w:eastAsia="zh-CN" w:bidi="ar"/>
              </w:rPr>
              <w:t>1.01(0.94-1.09)</w:t>
            </w:r>
          </w:p>
        </w:tc>
        <w:tc>
          <w:tcPr>
            <w:tcW w:w="114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2698A">
            <w:pPr>
              <w:keepNext w:val="0"/>
              <w:keepLines w:val="0"/>
              <w:widowControl w:val="0"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/>
              <w:ind w:left="0" w:leftChars="0" w:right="0" w:rightChars="0"/>
              <w:jc w:val="center"/>
              <w:rPr>
                <w:rFonts w:hint="eastAsia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8090C"/>
                <w:kern w:val="2"/>
                <w:sz w:val="24"/>
                <w:szCs w:val="24"/>
                <w:lang w:val="en-US" w:eastAsia="zh-CN" w:bidi="ar"/>
              </w:rPr>
              <w:t>0.799</w:t>
            </w:r>
          </w:p>
        </w:tc>
        <w:tc>
          <w:tcPr>
            <w:tcW w:w="21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CF79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/>
              </w:rPr>
            </w:pPr>
          </w:p>
        </w:tc>
      </w:tr>
    </w:tbl>
    <w:p w14:paraId="30D89804">
      <w:pPr>
        <w:widowControl/>
        <w:suppressAutoHyphens/>
        <w:kinsoku w:val="0"/>
        <w:overflowPunct w:val="0"/>
        <w:spacing w:line="360" w:lineRule="auto"/>
        <w:jc w:val="left"/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Abbreviation: HR: hazard ratio; CI: confidence interval; ref: reference category; CIBC: contralateral invasive breast cancer; DCIS: ductal carcinoma in situ; FDR</w:t>
      </w:r>
      <w:r>
        <w:rPr>
          <w:rFonts w:hint="eastAsia" w:ascii="Times New Roman" w:hAnsi="Times New Roman" w:cs="Times New Roman"/>
          <w:sz w:val="21"/>
          <w:szCs w:val="21"/>
        </w:rPr>
        <w:noBreakHyphen/>
      </w:r>
      <w:r>
        <w:rPr>
          <w:rFonts w:hint="eastAsia" w:ascii="Times New Roman" w:hAnsi="Times New Roman" w:cs="Times New Roman"/>
          <w:sz w:val="21"/>
          <w:szCs w:val="21"/>
        </w:rPr>
        <w:t>adjusted P: false discovery rate</w:t>
      </w:r>
      <w:r>
        <w:rPr>
          <w:rFonts w:hint="eastAsia" w:ascii="Times New Roman" w:hAnsi="Times New Roman" w:cs="Times New Roman"/>
          <w:sz w:val="21"/>
          <w:szCs w:val="21"/>
        </w:rPr>
        <w:noBreakHyphen/>
      </w:r>
      <w:r>
        <w:rPr>
          <w:rFonts w:hint="eastAsia" w:ascii="Times New Roman" w:hAnsi="Times New Roman" w:cs="Times New Roman"/>
          <w:sz w:val="21"/>
          <w:szCs w:val="21"/>
        </w:rPr>
        <w:t>adjusted P value.</w:t>
      </w:r>
    </w:p>
    <w:p w14:paraId="69754A78">
      <w:pPr>
        <w:keepNext w:val="0"/>
        <w:keepLines w:val="0"/>
        <w:widowControl/>
        <w:suppressLineNumbers w:val="0"/>
        <w:suppressAutoHyphens/>
        <w:kinsoku w:val="0"/>
        <w:overflowPunct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szCs w:val="21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Note: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Age 61-70 (15-year landmark cut-off);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Age ≥71 (9-year landmark cut-off);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Micropapillary carcinoma (9-year landmark cut-off). Each superscript denotes the paired early-phase and late-phase landmark results.</w:t>
      </w:r>
    </w:p>
    <w:p w14:paraId="6AEAAE2B">
      <w:pPr>
        <w:widowControl/>
        <w:suppressAutoHyphens/>
        <w:kinsoku w:val="0"/>
        <w:overflowPunct w:val="0"/>
        <w:spacing w:line="360" w:lineRule="auto"/>
        <w:jc w:val="left"/>
        <w:rPr>
          <w:rFonts w:hint="eastAsia" w:ascii="Times New Roman" w:hAnsi="Times New Roman" w:cs="Times New Roman"/>
          <w:sz w:val="21"/>
          <w:szCs w:val="21"/>
        </w:rPr>
      </w:pPr>
    </w:p>
    <w:p w14:paraId="6340E372"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 w:eastAsiaTheme="minorEastAsia"/>
          <w:sz w:val="22"/>
          <w:szCs w:val="22"/>
          <w:lang w:val="en-US" w:eastAsia="zh-CN"/>
        </w:rPr>
      </w:pPr>
    </w:p>
    <w:sectPr>
      <w:type w:val="continuous"/>
      <w:pgSz w:w="16838" w:h="11906" w:orient="landscape"/>
      <w:pgMar w:top="1417" w:right="1417" w:bottom="1417" w:left="1417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708"/>
  <w:hyphenationZone w:val="425"/>
  <w:displayHorizontalDrawingGridEvery w:val="0"/>
  <w:displayVerticalDrawingGridEvery w:val="2"/>
  <w:compat>
    <w:balanceSingleByteDoubleByteWidth/>
    <w:doNotExpandShiftReturn/>
    <w:adjustLineHeightInTable/>
    <w:useFELayout/>
    <w:compatSetting w:name="compatibilityMode" w:uri="http://schemas.microsoft.com/office/word" w:val="15"/>
  </w:compat>
  <w:rsids>
    <w:rsidRoot w:val="00000000"/>
    <w:rsid w:val="010A3855"/>
    <w:rsid w:val="047F071D"/>
    <w:rsid w:val="05B21C01"/>
    <w:rsid w:val="075549EF"/>
    <w:rsid w:val="075C00B6"/>
    <w:rsid w:val="10374B25"/>
    <w:rsid w:val="10442469"/>
    <w:rsid w:val="12DA083F"/>
    <w:rsid w:val="137420A1"/>
    <w:rsid w:val="16380CCC"/>
    <w:rsid w:val="16700F38"/>
    <w:rsid w:val="19866A23"/>
    <w:rsid w:val="1BA810E4"/>
    <w:rsid w:val="1CCB1CCC"/>
    <w:rsid w:val="1D3273A6"/>
    <w:rsid w:val="1E5A27FB"/>
    <w:rsid w:val="208211C5"/>
    <w:rsid w:val="214C6BAE"/>
    <w:rsid w:val="25983E4C"/>
    <w:rsid w:val="26CB73E3"/>
    <w:rsid w:val="27F72D6A"/>
    <w:rsid w:val="32B405F9"/>
    <w:rsid w:val="335F7687"/>
    <w:rsid w:val="3A994015"/>
    <w:rsid w:val="3E140910"/>
    <w:rsid w:val="42CE0C57"/>
    <w:rsid w:val="43A759DE"/>
    <w:rsid w:val="471A409C"/>
    <w:rsid w:val="48E42097"/>
    <w:rsid w:val="4ABE10D9"/>
    <w:rsid w:val="4ACD082B"/>
    <w:rsid w:val="4E034EB9"/>
    <w:rsid w:val="526F11BE"/>
    <w:rsid w:val="527F73DD"/>
    <w:rsid w:val="53B31B00"/>
    <w:rsid w:val="53D46318"/>
    <w:rsid w:val="55C30EEF"/>
    <w:rsid w:val="5A581238"/>
    <w:rsid w:val="5B8961E4"/>
    <w:rsid w:val="5BC37291"/>
    <w:rsid w:val="5DF95866"/>
    <w:rsid w:val="5F0F63C3"/>
    <w:rsid w:val="64D20AF0"/>
    <w:rsid w:val="67116CFA"/>
    <w:rsid w:val="67706460"/>
    <w:rsid w:val="6876537F"/>
    <w:rsid w:val="6ADE1368"/>
    <w:rsid w:val="6C901F13"/>
    <w:rsid w:val="6D260198"/>
    <w:rsid w:val="72712DDB"/>
    <w:rsid w:val="768D3A6A"/>
    <w:rsid w:val="775E1933"/>
    <w:rsid w:val="777B0924"/>
    <w:rsid w:val="78920AD2"/>
    <w:rsid w:val="7D6E7A51"/>
    <w:rsid w:val="7FC712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1307</Characters>
  <Lines>0</Lines>
  <Paragraphs>0</Paragraphs>
  <TotalTime>5</TotalTime>
  <ScaleCrop>false</ScaleCrop>
  <LinksUpToDate>false</LinksUpToDate>
  <CharactersWithSpaces>1412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WPS_1615004398</dc:creator>
  <cp:lastModifiedBy>WPS_1615004398</cp:lastModifiedBy>
  <dcterms:modified xsi:type="dcterms:W3CDTF">2026-09-11T12:27:19Z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eyJoZGlkIjoiMDY2NWRhZGRiYTA0OGVlOTRjOTZiM2FiMmYzMzE2MWYiLCJ1c2VySWQiOiIxMTc3NjYzMDMzIn0=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D3C33ADBA8054A1080E8DB75AC08BBA5_13</vt:lpwstr>
  </property>
</Properties>
</file>