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A08CF">
      <w:pPr>
        <w:spacing w:line="360" w:lineRule="auto"/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8</w:t>
      </w:r>
      <w:r>
        <w:rPr>
          <w:rFonts w:hint="eastAsia" w:ascii="Times New Roman" w:hAnsi="Times New Roman" w:cs="Times New Roman"/>
          <w:b/>
          <w:bCs/>
          <w:sz w:val="24"/>
        </w:rPr>
        <w:t>. Fixed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effect Fine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Gray competing risks analysis of CIBC risk factors in patients with IDC.</w:t>
      </w:r>
    </w:p>
    <w:tbl>
      <w:tblPr>
        <w:tblStyle w:val="8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151"/>
        <w:gridCol w:w="1704"/>
        <w:gridCol w:w="1974"/>
        <w:gridCol w:w="1975"/>
      </w:tblGrid>
      <w:tr w14:paraId="7F128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527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BE92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5094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  <w:t>HR</w:t>
            </w:r>
          </w:p>
        </w:tc>
        <w:tc>
          <w:tcPr>
            <w:tcW w:w="197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9905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  <w:t>P-value</w:t>
            </w:r>
          </w:p>
        </w:tc>
        <w:tc>
          <w:tcPr>
            <w:tcW w:w="197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93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/>
                <w:sz w:val="24"/>
                <w:szCs w:val="24"/>
                <w:u w:val="none"/>
              </w:rPr>
              <w:t>95% CI</w:t>
            </w:r>
          </w:p>
        </w:tc>
      </w:tr>
      <w:tr w14:paraId="4FCEE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31E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vertAlign w:val="superscript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</w:t>
            </w:r>
          </w:p>
        </w:tc>
        <w:tc>
          <w:tcPr>
            <w:tcW w:w="215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24B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E012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25EC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2C3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A489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CD2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A355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7512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1.06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112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0.012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8D0E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1.01 - 1.10</w:t>
            </w:r>
          </w:p>
        </w:tc>
      </w:tr>
      <w:tr w14:paraId="20FF8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683A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6FEC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DE3C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1.08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7C63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E7C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1.03 - 1.13</w:t>
            </w:r>
          </w:p>
        </w:tc>
      </w:tr>
      <w:tr w14:paraId="71E72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8E03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E9E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0091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0.82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5992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10FE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0.78 - 0.87</w:t>
            </w:r>
          </w:p>
        </w:tc>
      </w:tr>
      <w:tr w14:paraId="5AEA2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D2D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Hormone receptor status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1E1C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HR-(ref)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11F2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EADB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5E6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3324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AE0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1210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1E5F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0.75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E56C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0F3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0.72 - 0.78</w:t>
            </w:r>
          </w:p>
        </w:tc>
      </w:tr>
      <w:tr w14:paraId="5191F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5B6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AA77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75A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0.73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25E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076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0.69 - 0.78</w:t>
            </w:r>
          </w:p>
        </w:tc>
      </w:tr>
      <w:tr w14:paraId="0D2A8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9EEA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616D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4410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0.85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809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123A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0.79 - 0.91</w:t>
            </w:r>
          </w:p>
        </w:tc>
      </w:tr>
      <w:tr w14:paraId="7FA86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644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Grade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8F9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293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685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E33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C609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C45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D687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Ⅱ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0BBE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1.04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FB0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0.102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7AB3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0.98 - 1.10</w:t>
            </w:r>
          </w:p>
        </w:tc>
      </w:tr>
      <w:tr w14:paraId="57DB5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4F1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EDA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Ⅲ/Ⅳ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B53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1.06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A21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0.158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78F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0.96 - 1.16</w:t>
            </w:r>
          </w:p>
        </w:tc>
      </w:tr>
      <w:tr w14:paraId="3D379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BD4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F94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Unknown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219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0.97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6E1B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0.312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6B1F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0.88 - 1.07</w:t>
            </w:r>
          </w:p>
        </w:tc>
      </w:tr>
      <w:tr w14:paraId="54983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757B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538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481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33D2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4D15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19C1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865D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5895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2-5cm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72B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13B4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0.700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11C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0.95 - 1.03</w:t>
            </w:r>
          </w:p>
        </w:tc>
      </w:tr>
      <w:tr w14:paraId="1B8B0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585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004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beforeAutospacing="0" w:after="10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&gt;5cm</w:t>
            </w:r>
            <w:r>
              <w:rPr>
                <w:rFonts w:hint="eastAsia" w:ascii="Times New Roman" w:hAnsi="Times New Roman" w:eastAsia="Arial" w:cs="Times New Roman"/>
                <w:b w:val="0"/>
                <w:bCs w:val="0"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32E0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1.20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2CB9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69E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1.10 - 1.30</w:t>
            </w:r>
          </w:p>
        </w:tc>
      </w:tr>
      <w:tr w14:paraId="4D454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8EC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9E59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Unknown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510D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1.37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BAB8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0.009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0E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1.08 - 1.73</w:t>
            </w:r>
          </w:p>
        </w:tc>
      </w:tr>
      <w:tr w14:paraId="30651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8B7A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5ACE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N0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FB8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4368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B3D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49C8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8AC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6332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A316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FDF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4B93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0.89 - 0.97</w:t>
            </w:r>
          </w:p>
        </w:tc>
      </w:tr>
      <w:tr w14:paraId="639BC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9C7B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5DFE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F66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0.81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C6D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40C4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0.75 - 0.88</w:t>
            </w:r>
          </w:p>
        </w:tc>
      </w:tr>
      <w:tr w14:paraId="18330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5E0B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C118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037C5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0.91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E8E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0.074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046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0.82 - 1.01</w:t>
            </w:r>
          </w:p>
        </w:tc>
      </w:tr>
      <w:tr w14:paraId="49018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BB88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84DB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Lumpectomy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28C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DCD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93E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5D4C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BBA9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4C54D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EEC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1.02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58C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0.470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6397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0.97 - 1.07</w:t>
            </w:r>
          </w:p>
        </w:tc>
      </w:tr>
      <w:tr w14:paraId="2F752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B90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D7728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BB02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0.99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5B3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0.800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3B9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0.94 - 1.05</w:t>
            </w:r>
          </w:p>
        </w:tc>
      </w:tr>
      <w:tr w14:paraId="53DBD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434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F887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CBA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A4C5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C48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4F38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997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5B7E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BC5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C4B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0.220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E2EF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0.80 - 1.05</w:t>
            </w:r>
          </w:p>
        </w:tc>
      </w:tr>
      <w:tr w14:paraId="135A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DB16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0E79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D3FB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0.79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2B25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0BD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0.69 - 0.91</w:t>
            </w:r>
          </w:p>
        </w:tc>
      </w:tr>
      <w:tr w14:paraId="0EEF1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434EE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vertAlign w:val="superscript"/>
                <w:lang w:val="en-US" w:eastAsia="zh-CN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E8164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8262B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D14A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4D31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E3C8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66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54A3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25B6C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6E15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</w:t>
            </w:r>
          </w:p>
        </w:tc>
        <w:tc>
          <w:tcPr>
            <w:tcW w:w="197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B8AE7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97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FD00">
            <w:pPr>
              <w:keepNext w:val="0"/>
              <w:keepLines w:val="0"/>
              <w:widowControl/>
              <w:suppressLineNumbers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beforeAutospacing="0" w:after="100" w:afterAutospacing="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0.88 - 0.96</w:t>
            </w:r>
          </w:p>
        </w:tc>
      </w:tr>
    </w:tbl>
    <w:p w14:paraId="73FAEF73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IDC: invasive ductal carcinoma; ref: reference category; HR-: ER-negative and PR-negative; HR+ (ER+/PR+), ER-positive and PR-positive; HR+ (Other),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0CB2879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Cs w:val="21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Notes: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Results from the second-round minimally-adjusted Fine-Gray competing-risks model.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Final multivariable Fine-Gray competing-risks model.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bookmarkStart w:id="0" w:name="_GoBack"/>
      <w:r>
        <w:rPr>
          <w:rFonts w:hint="eastAsia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Variables including age 61–70 years, age ≥71 years, tumor size &gt;5 cm, tumor size unknown, N2, N3 and radiation therapy violate the proportional subdistribution hazard (PSH) assumption according to Supplementary Table 17. The time-constant estimates for these variables are reported for comparison only.</w:t>
      </w:r>
      <w:bookmarkEnd w:id="0"/>
    </w:p>
    <w:p w14:paraId="76E1503D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28B586F"/>
    <w:rsid w:val="21236A74"/>
    <w:rsid w:val="28111003"/>
    <w:rsid w:val="39123F08"/>
    <w:rsid w:val="3CBF0000"/>
    <w:rsid w:val="42883E26"/>
    <w:rsid w:val="565212DD"/>
    <w:rsid w:val="57CA1FC6"/>
    <w:rsid w:val="5DD136AD"/>
    <w:rsid w:val="64FA0737"/>
    <w:rsid w:val="67CB3D49"/>
    <w:rsid w:val="76463FE5"/>
    <w:rsid w:val="7B9A54DE"/>
    <w:rsid w:val="7FC962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1452</Characters>
  <Lines>0</Lines>
  <Paragraphs>0</Paragraphs>
  <TotalTime>1</TotalTime>
  <ScaleCrop>false</ScaleCrop>
  <LinksUpToDate>false</LinksUpToDate>
  <CharactersWithSpaces>1627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2026-09-11T12:49:12Z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7510F3AEF5384310BF5758AF9FE8D918_12</vt:lpwstr>
  </property>
</Properties>
</file>