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F5529">
      <w:pPr>
        <w:spacing w:line="360" w:lineRule="auto"/>
      </w:pPr>
      <w:r>
        <w:rPr>
          <w:rFonts w:hint="eastAsia" w:ascii="Times New Roman" w:hAnsi="Times New Roman" w:cs="Times New Roman"/>
          <w:b/>
          <w:bCs/>
          <w:sz w:val="24"/>
        </w:rPr>
        <w:t xml:space="preserve">Supplementary Table 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21</w:t>
      </w:r>
      <w:r>
        <w:rPr>
          <w:rFonts w:hint="eastAsia" w:ascii="Times New Roman" w:hAnsi="Times New Roman" w:cs="Times New Roman"/>
          <w:b/>
          <w:bCs/>
          <w:sz w:val="24"/>
        </w:rPr>
        <w:t>. Fixed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effect Fine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Gray competing risks analysis of CIBC risk factors in Black and White patients with IDC.</w:t>
      </w:r>
    </w:p>
    <w:tbl>
      <w:tblPr>
        <w:tblStyle w:val="8"/>
        <w:tblW w:w="141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  <w:gridCol w:w="2536"/>
        <w:gridCol w:w="2882"/>
        <w:gridCol w:w="2018"/>
        <w:gridCol w:w="2958"/>
        <w:gridCol w:w="1591"/>
      </w:tblGrid>
      <w:tr w14:paraId="2E4C0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309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2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CD0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28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BF3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HR</w:t>
            </w:r>
          </w:p>
        </w:tc>
        <w:tc>
          <w:tcPr>
            <w:tcW w:w="20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75E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P-value</w:t>
            </w:r>
          </w:p>
        </w:tc>
        <w:tc>
          <w:tcPr>
            <w:tcW w:w="295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3D5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HR</w:t>
            </w:r>
          </w:p>
        </w:tc>
        <w:tc>
          <w:tcPr>
            <w:tcW w:w="159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99D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P-value</w:t>
            </w:r>
          </w:p>
        </w:tc>
      </w:tr>
      <w:tr w14:paraId="2521F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2C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AF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9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C0B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Black</w:t>
            </w:r>
          </w:p>
        </w:tc>
        <w:tc>
          <w:tcPr>
            <w:tcW w:w="454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60F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White</w:t>
            </w:r>
          </w:p>
        </w:tc>
      </w:tr>
      <w:tr w14:paraId="7C1B3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288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25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83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28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A69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31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95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832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02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4D841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9F8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E46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CEC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0.84 - 1.00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24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0.053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19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1.09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1.04 - 1.15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A53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07DBD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24F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EB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938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0.74 - 0.94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84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0.003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FA9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1.13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1.07 - 1.19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28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0617B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16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E5E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450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0.56 - 0.76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A1A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A5F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0.80 - 0.91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53C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719E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47C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428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(ref)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01F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CA8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F1C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955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01FC1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FE0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7CB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E07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0.64 - 0.79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E4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02C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0.72 - 0.79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43F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422EE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AE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C87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954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0.62 - 0.83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FE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DF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0.69 - 0.79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D7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31A42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08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D86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 Equivocal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23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0.68 - 0.97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B6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0.025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2C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0.80 - 0.93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146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4C22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271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03E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≤2cm 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2B57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5CF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7A0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3C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6268B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9B5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044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438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0.85 - 1.03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882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0.190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A4E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1.00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0.96 - 1.05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CBC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0.940</w:t>
            </w:r>
          </w:p>
        </w:tc>
      </w:tr>
      <w:tr w14:paraId="10F9D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212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C9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&gt;5cm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D8B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0.79 - 1.14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05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0.570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9A5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1.27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1.16 - 1.39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06A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37C20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58C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71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0C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1.32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0.80 - 2.16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E1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0.280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4F7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1.36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1.04 - 1.77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6C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0.024</w:t>
            </w:r>
          </w:p>
        </w:tc>
      </w:tr>
      <w:tr w14:paraId="64427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E5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58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N0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7D5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C2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D90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88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3F574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E06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2BD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56C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0.88 - 0.99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CD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0.048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808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0.89 - 0.97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3C3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0.002</w:t>
            </w:r>
          </w:p>
        </w:tc>
      </w:tr>
      <w:tr w14:paraId="3277BC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5C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6DF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2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18D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0.67 - 0.98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24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0.027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EB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0.75 - 0.89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472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05C70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F3A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DC9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3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2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0.76 - 1.20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7F6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8C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0.80 - 1.01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8E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0.073</w:t>
            </w:r>
          </w:p>
        </w:tc>
      </w:tr>
      <w:tr w14:paraId="5B626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6CC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828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Lumpectomy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24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490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E0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70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47ED5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DE1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081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Radical Mastectomy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36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0.93 - 1.19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A7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0.390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D35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1.01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0.96 - 1.07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2E4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0.650</w:t>
            </w:r>
          </w:p>
        </w:tc>
      </w:tr>
      <w:tr w14:paraId="3D0E7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9C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60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107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0.87 - 1.18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E32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0.860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42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0.93 - 1.06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92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0.770</w:t>
            </w:r>
          </w:p>
        </w:tc>
      </w:tr>
      <w:tr w14:paraId="2B138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F59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86F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28D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7BB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AEB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3DB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619D1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E06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46A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YES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62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0.68 - 1.58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75D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0.860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00A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0.79 - 1.04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F82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0.180</w:t>
            </w:r>
          </w:p>
        </w:tc>
      </w:tr>
      <w:tr w14:paraId="3F623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79A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603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Unknown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903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0.60 - 1.40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27E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0.700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6D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0.68 - 0.90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2D8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56A47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89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4EF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No/Unknown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6D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1F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AF6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DE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66BC2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88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A16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2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AD1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0.92 - 1.14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2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83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0.680</w:t>
            </w:r>
          </w:p>
        </w:tc>
        <w:tc>
          <w:tcPr>
            <w:tcW w:w="29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34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0.90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0.87 - 0.94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159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B10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</w:tbl>
    <w:p w14:paraId="06685F34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 xml:space="preserve">HR: </w:t>
      </w:r>
      <w:r>
        <w:rPr>
          <w:rFonts w:ascii="Times New Roman" w:hAnsi="Times New Roman" w:cs="Times New Roman"/>
          <w:sz w:val="21"/>
          <w:szCs w:val="21"/>
        </w:rPr>
        <w:t>H</w:t>
      </w:r>
      <w:r>
        <w:rPr>
          <w:rFonts w:hint="eastAsia" w:ascii="Times New Roman" w:hAnsi="Times New Roman" w:cs="Times New Roman"/>
          <w:sz w:val="21"/>
          <w:szCs w:val="21"/>
        </w:rPr>
        <w:t>azard ratio; CI: confidence interval; ref: reference category; CIBC: contralateral invasive breast cancer; IDC: invasive ductal carcinoma; ref: reference category; HR-: ER-negative and PR-negative; HR+ (ER+/PR+),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unknown; N0: lymph node metastasis stage N0; N1: lymph node metastasis stage N1; N2: lymph node metastasis stage N2; N3: lymph node metastasis stage N3.</w:t>
      </w:r>
    </w:p>
    <w:p w14:paraId="5D5DB03F"/>
    <w:p w14:paraId="1A08BB52"/>
    <w:p w14:paraId="733599D8"/>
    <w:p w14:paraId="0F82217D">
      <w:pPr>
        <w:rPr>
          <w:rFonts w:hint="default" w:eastAsiaTheme="minorEastAsia"/>
          <w:lang w:val="en-US" w:eastAsia="zh-CN"/>
        </w:rPr>
      </w:pPr>
    </w:p>
    <w:sectPr>
      <w:type w:val="continuous"/>
      <w:pgSz w:w="16840" w:h="11900" w:orient="landscape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ECC4D2E"/>
    <w:rsid w:val="1B0F7605"/>
    <w:rsid w:val="2229377C"/>
    <w:rsid w:val="2AA306FC"/>
    <w:rsid w:val="32962883"/>
    <w:rsid w:val="3AC64E5F"/>
    <w:rsid w:val="3F10008F"/>
    <w:rsid w:val="3F9F518C"/>
    <w:rsid w:val="470C4CAB"/>
    <w:rsid w:val="4F8F032F"/>
    <w:rsid w:val="543430DF"/>
    <w:rsid w:val="70175E89"/>
    <w:rsid w:val="744A79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1601</Characters>
  <Lines>0</Lines>
  <Paragraphs>0</Paragraphs>
  <TotalTime>0</TotalTime>
  <ScaleCrop>false</ScaleCrop>
  <LinksUpToDate>false</LinksUpToDate>
  <CharactersWithSpaces>1788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2026-09-11T12:33:42Z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512689B867944C4B96744EE05D7E1DD4_12</vt:lpwstr>
  </property>
</Properties>
</file>