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832CC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3</w:t>
      </w:r>
      <w:r>
        <w:rPr>
          <w:rFonts w:ascii="Times New Roman" w:hAnsi="Times New Roman" w:cs="Times New Roman"/>
          <w:b/>
          <w:bCs/>
          <w:sz w:val="24"/>
        </w:rPr>
        <w:t>. Baseline characteristics of patients with invasive ductal carcinoma (IDC).</w:t>
      </w:r>
    </w:p>
    <w:tbl>
      <w:tblPr>
        <w:tblStyle w:val="8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7"/>
        <w:gridCol w:w="3719"/>
        <w:gridCol w:w="3044"/>
      </w:tblGrid>
      <w:tr w14:paraId="67437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4E9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37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CD9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30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4BC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Total</w:t>
            </w:r>
          </w:p>
        </w:tc>
      </w:tr>
      <w:tr w14:paraId="27121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BF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Overall</w:t>
            </w:r>
          </w:p>
        </w:tc>
        <w:tc>
          <w:tcPr>
            <w:tcW w:w="371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430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5D1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491,36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  <w:bookmarkStart w:id="0" w:name="_GoBack"/>
            <w:bookmarkEnd w:id="0"/>
          </w:p>
        </w:tc>
      </w:tr>
      <w:tr w14:paraId="7BA04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3A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Race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D9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D2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57,67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(11.7%)</w:t>
            </w:r>
          </w:p>
        </w:tc>
      </w:tr>
      <w:tr w14:paraId="2FCDF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5A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A7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B0F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433,696 (88.3%)</w:t>
            </w:r>
          </w:p>
        </w:tc>
      </w:tr>
      <w:tr w14:paraId="7625D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E8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Year of diagnosis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21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2000-2004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1C3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113,729 (23.1%)</w:t>
            </w:r>
          </w:p>
        </w:tc>
      </w:tr>
      <w:tr w14:paraId="1B9A0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C53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555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2005-2009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39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114,236 (23.2%)</w:t>
            </w:r>
          </w:p>
        </w:tc>
      </w:tr>
      <w:tr w14:paraId="22F78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C7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ACC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2010-2014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11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115,602 (23.5%)</w:t>
            </w:r>
          </w:p>
        </w:tc>
      </w:tr>
      <w:tr w14:paraId="51815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E8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85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2015-2020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6A8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147,800 (30.1%)</w:t>
            </w:r>
          </w:p>
        </w:tc>
      </w:tr>
      <w:tr w14:paraId="0A54E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3C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(cont.)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CE3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85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59.88 (12.48)</w:t>
            </w:r>
          </w:p>
        </w:tc>
      </w:tr>
      <w:tr w14:paraId="6DF4B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7C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6F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B5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60.00 (51.00, 69.00)</w:t>
            </w:r>
          </w:p>
        </w:tc>
      </w:tr>
      <w:tr w14:paraId="443DC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3AA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(cat.)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966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≤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50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19B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122,122 (24.9%)</w:t>
            </w:r>
          </w:p>
        </w:tc>
      </w:tr>
      <w:tr w14:paraId="1FF07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DF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3B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6D4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129,829 (26.4%)</w:t>
            </w:r>
          </w:p>
        </w:tc>
      </w:tr>
      <w:tr w14:paraId="0C1F4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0DF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536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A0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130,160 (26.5%)</w:t>
            </w:r>
          </w:p>
        </w:tc>
      </w:tr>
      <w:tr w14:paraId="4EB87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3B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187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≥71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052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109,256 (22.2%)</w:t>
            </w:r>
          </w:p>
        </w:tc>
      </w:tr>
      <w:tr w14:paraId="0E9CB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E5F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Follow</w:t>
            </w: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up time (months)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76A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0E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109.80 (69.57)</w:t>
            </w:r>
          </w:p>
        </w:tc>
      </w:tr>
      <w:tr w14:paraId="2CC28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ECA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1CB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0E1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98.00 (51.00, 161.00)</w:t>
            </w:r>
          </w:p>
        </w:tc>
      </w:tr>
      <w:tr w14:paraId="21329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26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CIBC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1D49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NO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BC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476780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97.0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</w:tr>
      <w:tr w14:paraId="3F821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C44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FB73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YES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59B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14,587 (3.0%)</w:t>
            </w:r>
          </w:p>
        </w:tc>
      </w:tr>
      <w:tr w14:paraId="2B2F3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7D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  <w:t>Time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  <w:t xml:space="preserve"> from diagnosis to CIBC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  <w:t>(months)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5F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Mean (SD)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5B8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88.41 (61.01)</w:t>
            </w:r>
          </w:p>
        </w:tc>
      </w:tr>
      <w:tr w14:paraId="5EF40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6D6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E24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Median (IQR)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0E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79.00 (37.00, 131.00)</w:t>
            </w:r>
          </w:p>
        </w:tc>
      </w:tr>
      <w:tr w14:paraId="09D3A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46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Final status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006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Alive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7CC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354,289 (72.1%)</w:t>
            </w:r>
          </w:p>
        </w:tc>
      </w:tr>
      <w:tr w14:paraId="3A6AE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B5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F93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Breast Cancer Death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CFF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47,464 (9.7%)</w:t>
            </w:r>
          </w:p>
        </w:tc>
      </w:tr>
      <w:tr w14:paraId="3900C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1B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17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Cardiovascular Death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0F2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27,900 (5.7%)</w:t>
            </w:r>
          </w:p>
        </w:tc>
      </w:tr>
      <w:tr w14:paraId="12032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EC8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159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Cancer Death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4B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18,458 (3.8%)</w:t>
            </w:r>
          </w:p>
        </w:tc>
      </w:tr>
      <w:tr w14:paraId="7AEBD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34E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68D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Non-Cancer Death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5F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25,248 (5.1%)</w:t>
            </w:r>
          </w:p>
        </w:tc>
      </w:tr>
      <w:tr w14:paraId="12212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11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BA4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 Cause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663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18,008 (3.7%)</w:t>
            </w:r>
          </w:p>
        </w:tc>
      </w:tr>
      <w:tr w14:paraId="0EA4A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7AB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Laterality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790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Left - origin of primary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78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249,364 (50.7%)</w:t>
            </w:r>
          </w:p>
        </w:tc>
      </w:tr>
      <w:tr w14:paraId="3555B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53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7E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Right - origin of primary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EC6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242,003 (49.3%)</w:t>
            </w:r>
          </w:p>
        </w:tc>
      </w:tr>
      <w:tr w14:paraId="7965E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1A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ER Status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CEA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6D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21,965 (4.5%)</w:t>
            </w:r>
          </w:p>
        </w:tc>
      </w:tr>
      <w:tr w14:paraId="47D77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AD5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FE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343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96,485 (19.6%)</w:t>
            </w:r>
          </w:p>
        </w:tc>
      </w:tr>
      <w:tr w14:paraId="4DA56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FC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85F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25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372,917 (75.9%)</w:t>
            </w:r>
          </w:p>
        </w:tc>
      </w:tr>
      <w:tr w14:paraId="28584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0DF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PR Status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80A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0B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25,995 (5.3%)</w:t>
            </w:r>
          </w:p>
        </w:tc>
      </w:tr>
      <w:tr w14:paraId="478C1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B3A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C4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4A8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143,124 (29.1%)</w:t>
            </w:r>
          </w:p>
        </w:tc>
      </w:tr>
      <w:tr w14:paraId="5E79D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7EF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F68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10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322,248 (65.6%)</w:t>
            </w:r>
          </w:p>
        </w:tc>
      </w:tr>
      <w:tr w14:paraId="75AFE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B0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09F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HR-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30A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90,266 (18.4%)</w:t>
            </w:r>
          </w:p>
        </w:tc>
      </w:tr>
      <w:tr w14:paraId="1FC22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DB8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0F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ED7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316,279 (64.4%)</w:t>
            </w:r>
          </w:p>
        </w:tc>
      </w:tr>
      <w:tr w14:paraId="6A7B8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29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CE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917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62,607 (12.7%)</w:t>
            </w:r>
          </w:p>
        </w:tc>
      </w:tr>
      <w:tr w14:paraId="678FC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0A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F6A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Equivocal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77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22,215 (4.5%)</w:t>
            </w:r>
          </w:p>
        </w:tc>
      </w:tr>
      <w:tr w14:paraId="395ED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BEB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F9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Ⅰ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F5C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101,228 (20.6%)</w:t>
            </w:r>
          </w:p>
        </w:tc>
      </w:tr>
      <w:tr w14:paraId="2BF21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A05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A2B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Ⅱ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49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191,844 (39.0%)</w:t>
            </w:r>
          </w:p>
        </w:tc>
      </w:tr>
      <w:tr w14:paraId="33B37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221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1A2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Ⅲ/Ⅳ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FE8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165,927 (33.8%)</w:t>
            </w:r>
          </w:p>
        </w:tc>
      </w:tr>
      <w:tr w14:paraId="41142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39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5F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DFE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32,368 (6.6%)</w:t>
            </w:r>
          </w:p>
        </w:tc>
      </w:tr>
      <w:tr w14:paraId="59349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C3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038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≤2cm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08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324,204 (66.0%)</w:t>
            </w:r>
          </w:p>
        </w:tc>
      </w:tr>
      <w:tr w14:paraId="41F72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08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C46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FA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143,926 (29.3%)</w:t>
            </w:r>
          </w:p>
        </w:tc>
      </w:tr>
      <w:tr w14:paraId="2E384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9C6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BCF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33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21,219 (4.3%)</w:t>
            </w:r>
          </w:p>
        </w:tc>
      </w:tr>
      <w:tr w14:paraId="51A05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9C9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C2B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69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2,018 (0.4%)</w:t>
            </w:r>
          </w:p>
        </w:tc>
      </w:tr>
      <w:tr w14:paraId="6F09D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38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E6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Lumpectomy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C2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337,384 (68.7%)</w:t>
            </w:r>
          </w:p>
        </w:tc>
      </w:tr>
      <w:tr w14:paraId="219F4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7F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CC1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CBB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83,699 (17.0%)</w:t>
            </w:r>
          </w:p>
        </w:tc>
      </w:tr>
      <w:tr w14:paraId="5C0F0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49A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4C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F4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70,284 (14.3%)</w:t>
            </w:r>
          </w:p>
        </w:tc>
      </w:tr>
      <w:tr w14:paraId="1FE3F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4D0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DC8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25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9,901 (2.0%)</w:t>
            </w:r>
          </w:p>
        </w:tc>
      </w:tr>
      <w:tr w14:paraId="56B68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18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7AD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1E5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305,086 (62.1%)</w:t>
            </w:r>
          </w:p>
        </w:tc>
      </w:tr>
      <w:tr w14:paraId="0DE40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098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F78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E01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176,380 (35.9%)</w:t>
            </w:r>
          </w:p>
        </w:tc>
      </w:tr>
      <w:tr w14:paraId="1C81C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24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A3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N0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EA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343,804 (70.0%)</w:t>
            </w:r>
          </w:p>
        </w:tc>
      </w:tr>
      <w:tr w14:paraId="45EB4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751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23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N1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14D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109,657 (22.3%)</w:t>
            </w:r>
          </w:p>
        </w:tc>
      </w:tr>
      <w:tr w14:paraId="7A5DA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0FA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B6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0AA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25,230 (5.1%)</w:t>
            </w:r>
          </w:p>
        </w:tc>
      </w:tr>
      <w:tr w14:paraId="36505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A9C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F44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CBF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12,676 (2.6%)</w:t>
            </w:r>
          </w:p>
        </w:tc>
      </w:tr>
      <w:tr w14:paraId="51F35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52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FC7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No/Unknown</w:t>
            </w:r>
          </w:p>
        </w:tc>
        <w:tc>
          <w:tcPr>
            <w:tcW w:w="3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D64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282,603 (57.5%)</w:t>
            </w:r>
          </w:p>
        </w:tc>
      </w:tr>
      <w:tr w14:paraId="7C4ED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07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72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71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6ED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304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DA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208,764 (42.5%)</w:t>
            </w:r>
          </w:p>
        </w:tc>
      </w:tr>
    </w:tbl>
    <w:p w14:paraId="02D7B989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Note: continuous variables are presented as Mean (SD) and Median (IQR); categorical variables are presented as n (%).</w:t>
      </w:r>
    </w:p>
    <w:p w14:paraId="28F57E8F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SD: </w:t>
      </w:r>
      <w:r>
        <w:rPr>
          <w:rFonts w:hint="eastAsia"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tandard </w:t>
      </w:r>
      <w:r>
        <w:rPr>
          <w:rFonts w:hint="eastAsia"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 xml:space="preserve">eviation; IQR: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nterquartile </w:t>
      </w:r>
      <w:r>
        <w:rPr>
          <w:rFonts w:hint="eastAsia"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ange</w:t>
      </w:r>
      <w:r>
        <w:rPr>
          <w:rFonts w:hint="eastAsia" w:ascii="Times New Roman" w:hAnsi="Times New Roman" w:cs="Times New Roman"/>
          <w:sz w:val="21"/>
          <w:szCs w:val="21"/>
        </w:rPr>
        <w:t xml:space="preserve">; </w:t>
      </w:r>
      <w:r>
        <w:rPr>
          <w:rFonts w:ascii="Times New Roman" w:hAnsi="Times New Roman" w:cs="Times New Roman"/>
          <w:sz w:val="21"/>
          <w:szCs w:val="21"/>
        </w:rPr>
        <w:t>CIBC:</w:t>
      </w:r>
      <w:r>
        <w:rPr>
          <w:rFonts w:hint="eastAsia" w:ascii="Times New Roman" w:hAnsi="Times New Roman" w:cs="Times New Roman"/>
          <w:sz w:val="21"/>
          <w:szCs w:val="21"/>
        </w:rPr>
        <w:t xml:space="preserve"> c</w:t>
      </w:r>
      <w:r>
        <w:rPr>
          <w:rFonts w:ascii="Times New Roman" w:hAnsi="Times New Roman" w:cs="Times New Roman"/>
          <w:sz w:val="21"/>
          <w:szCs w:val="21"/>
        </w:rPr>
        <w:t xml:space="preserve">ontralateral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nvasive </w:t>
      </w:r>
      <w:r>
        <w:rPr>
          <w:rFonts w:hint="eastAsia"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 xml:space="preserve">reast </w:t>
      </w:r>
      <w:r>
        <w:rPr>
          <w:rFonts w:hint="eastAsia" w:ascii="Times New Roman" w:hAnsi="Times New Roman" w:cs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ancer</w:t>
      </w:r>
      <w:r>
        <w:rPr>
          <w:rFonts w:hint="eastAsia" w:ascii="Times New Roman" w:hAnsi="Times New Roman" w:cs="Times New Roman"/>
          <w:sz w:val="21"/>
          <w:szCs w:val="21"/>
        </w:rPr>
        <w:t>; HR-: ER-negative and PR-negative; HR+ (ER+/PR+):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12C262DF"/>
    <w:sectPr>
      <w:type w:val="continuous"/>
      <w:pgSz w:w="11900" w:h="16840"/>
      <w:pgMar w:top="1417" w:right="1417" w:bottom="1417" w:left="1417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1F50A8"/>
    <w:rsid w:val="066B3BC5"/>
    <w:rsid w:val="0B853E84"/>
    <w:rsid w:val="0CDC0227"/>
    <w:rsid w:val="19F23A50"/>
    <w:rsid w:val="1F9F7A44"/>
    <w:rsid w:val="230944B2"/>
    <w:rsid w:val="239161EE"/>
    <w:rsid w:val="24025784"/>
    <w:rsid w:val="412702DE"/>
    <w:rsid w:val="54011D0D"/>
    <w:rsid w:val="5810698A"/>
    <w:rsid w:val="635A70B2"/>
    <w:rsid w:val="67C25EE2"/>
    <w:rsid w:val="68D84693"/>
    <w:rsid w:val="68F7661B"/>
    <w:rsid w:val="75AA2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322</Words>
  <Characters>1959</Characters>
  <Lines>0</Lines>
  <Paragraphs>0</Paragraphs>
  <TotalTime>1</TotalTime>
  <ScaleCrop>false</ScaleCrop>
  <LinksUpToDate>false</LinksUpToDate>
  <CharactersWithSpaces>2143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2026-08-29T06:46:47Z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6E085C33F0C54FE390E43B7EE8B31028_12</vt:lpwstr>
  </property>
</Properties>
</file>