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9DADC6">
      <w:pPr>
        <w:spacing w:line="360" w:lineRule="auto"/>
        <w:rPr>
          <w:rFonts w:hint="default" w:ascii="Times New Roman" w:hAnsi="Times New Roman" w:eastAsia="Arial" w:cs="Times New Roman"/>
          <w:b/>
          <w:i w:val="0"/>
          <w:color w:val="000000"/>
          <w:sz w:val="24"/>
          <w:szCs w:val="24"/>
          <w:u w:val="none"/>
        </w:rPr>
      </w:pPr>
      <w:r>
        <w:rPr>
          <w:rFonts w:hint="eastAsia" w:ascii="Times New Roman" w:hAnsi="Times New Roman" w:cs="Times New Roman"/>
          <w:b/>
          <w:bCs/>
          <w:sz w:val="24"/>
        </w:rPr>
        <w:t>Supplementary Table 4. Baseline characteristics of Black and White patients with invasive ductal carcinoma (IDC).</w:t>
      </w:r>
    </w:p>
    <w:tbl>
      <w:tblPr>
        <w:tblStyle w:val="8"/>
        <w:tblW w:w="98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6"/>
        <w:gridCol w:w="2934"/>
        <w:gridCol w:w="2221"/>
        <w:gridCol w:w="1999"/>
      </w:tblGrid>
      <w:tr w14:paraId="354B1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AC9F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Variable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E21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  <w:t>Value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C82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Black</w:t>
            </w:r>
          </w:p>
        </w:tc>
        <w:tc>
          <w:tcPr>
            <w:tcW w:w="199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235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i w:val="0"/>
                <w:color w:val="000000" w:themeColor="dark1"/>
                <w:sz w:val="24"/>
                <w:szCs w:val="24"/>
                <w:u w:val="none"/>
                <w:lang w:val="en-US" w:eastAsia="zh-CN"/>
                <w14:textFill>
                  <w14:solidFill>
                    <w14:schemeClr w14:val="dk1"/>
                  </w14:solidFill>
                </w14:textFill>
              </w:rPr>
              <w:t>White</w:t>
            </w:r>
          </w:p>
        </w:tc>
      </w:tr>
      <w:tr w14:paraId="4324D2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98A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Overall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727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C517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eastAsia="zh-C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57,67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</w:t>
            </w:r>
            <w:bookmarkStart w:id="0" w:name="_GoBack"/>
            <w:bookmarkEnd w:id="0"/>
          </w:p>
        </w:tc>
        <w:tc>
          <w:tcPr>
            <w:tcW w:w="199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AFCE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433,696</w:t>
            </w:r>
          </w:p>
        </w:tc>
      </w:tr>
      <w:tr w14:paraId="13577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A11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Year of diagnosis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BFF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2000-2004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245E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11,810 (20.5%)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487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101,919 (23.5%)</w:t>
            </w:r>
          </w:p>
        </w:tc>
      </w:tr>
      <w:tr w14:paraId="43937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49A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3EC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2005-2009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B31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13,150 (22.8%)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F8F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101,086 (23.3%)</w:t>
            </w:r>
          </w:p>
        </w:tc>
      </w:tr>
      <w:tr w14:paraId="466B59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623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9CC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2010-2014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E77BD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14,318 (24.8%)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3E7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101,284 (23.4%)</w:t>
            </w:r>
          </w:p>
        </w:tc>
      </w:tr>
      <w:tr w14:paraId="48C4E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A1AB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32C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2015-2020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9EC3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18,393 (31.9%)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80D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129,407 (29.8%)</w:t>
            </w:r>
          </w:p>
        </w:tc>
      </w:tr>
      <w:tr w14:paraId="70C197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7F2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Age at diagnosis (cont.)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276A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F674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57.13 (12.41)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764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60.25 (12.44)</w:t>
            </w:r>
          </w:p>
        </w:tc>
      </w:tr>
      <w:tr w14:paraId="64E5B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134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240B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Median (IQR)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871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57.00 (48.00, 66.00)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AC8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60.00 (51.00, 70.00)</w:t>
            </w:r>
          </w:p>
        </w:tc>
      </w:tr>
      <w:tr w14:paraId="7E06A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09C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Age at diagnosis (cat.)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3AA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≤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94F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18,314 (31.8%)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3C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103,808 (23.9%)</w:t>
            </w:r>
          </w:p>
        </w:tc>
      </w:tr>
      <w:tr w14:paraId="47DF0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0B4A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1D9E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51-60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6402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16,483 (28.6%)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DBA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113,346 (26.1%)</w:t>
            </w:r>
          </w:p>
        </w:tc>
      </w:tr>
      <w:tr w14:paraId="4528EC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0407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7393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61-70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974C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13,735 (23.8%)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5BC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116,425 (26.8%)</w:t>
            </w:r>
          </w:p>
        </w:tc>
      </w:tr>
      <w:tr w14:paraId="147F12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9E88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8DDC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≥71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544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9,139 (15.8%)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772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100,117 (23.1%)</w:t>
            </w:r>
          </w:p>
        </w:tc>
      </w:tr>
      <w:tr w14:paraId="4CB49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5E6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Follow-up time (months)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BA2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Mean (SD)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B5F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100.06 (67.88)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A9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111.10 (69.69)</w:t>
            </w:r>
          </w:p>
        </w:tc>
      </w:tr>
      <w:tr w14:paraId="22A84B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0D83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BEC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Median (IQR)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D70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86.00 (43.00, 148.00)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3BD5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100.00 (52.00, 163.00)</w:t>
            </w:r>
          </w:p>
        </w:tc>
      </w:tr>
      <w:tr w14:paraId="0EAFA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4113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CIBC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AA30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75D9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55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,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637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 xml:space="preserve"> (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96.5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C66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421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,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143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 xml:space="preserve"> (</w:t>
            </w: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97.1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%)</w:t>
            </w:r>
          </w:p>
        </w:tc>
      </w:tr>
      <w:tr w14:paraId="589E09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1ED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32C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AD42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2,034 (3.5%)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A7B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12,553 (2.9%)</w:t>
            </w:r>
          </w:p>
        </w:tc>
      </w:tr>
      <w:tr w14:paraId="2078A4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31C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Final 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9B4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Alive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2400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39,080 (67.8%)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48FA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315,209 (72.7%)</w:t>
            </w:r>
          </w:p>
        </w:tc>
      </w:tr>
      <w:tr w14:paraId="1F233A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5D2BA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06E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Breast Cancer Death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AAAA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8,618 (14.9%)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844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38,846 (9.0%)</w:t>
            </w:r>
          </w:p>
        </w:tc>
      </w:tr>
      <w:tr w14:paraId="10955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542F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E0F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Cardiovascular Death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EDD3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3,339 (5.8%)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FCEBC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24,561 (5.7%)</w:t>
            </w:r>
          </w:p>
        </w:tc>
      </w:tr>
      <w:tr w14:paraId="7CF16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5D5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5E5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Cancer Death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24C0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2,078 (3.6%)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C4F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16,380 (3.8%)</w:t>
            </w:r>
          </w:p>
        </w:tc>
      </w:tr>
      <w:tr w14:paraId="184A28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C2F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E0C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Other Non-Cancer Death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10D2F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2,680 (4.6%)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07A9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22,568 (5.2%)</w:t>
            </w:r>
          </w:p>
        </w:tc>
      </w:tr>
      <w:tr w14:paraId="6939E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DD3A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E1BD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 Cause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021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1,876 (3.3%)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009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16,132 (3.7%)</w:t>
            </w:r>
          </w:p>
        </w:tc>
      </w:tr>
      <w:tr w14:paraId="6E04F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8C3E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Laterality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094E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Left - origin of primary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C31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29,526 (51.2%)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2896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219,838 (50.7%)</w:t>
            </w:r>
          </w:p>
        </w:tc>
      </w:tr>
      <w:tr w14:paraId="7577D2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9F7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FA4F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Right - origin of primary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723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28,145 (48.8%)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E7A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213,858 (49.3%)</w:t>
            </w:r>
          </w:p>
        </w:tc>
      </w:tr>
      <w:tr w14:paraId="5951C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EB1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ER 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26D1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Borderline/Unknown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F586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2,777 (4.8%)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B98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19,188 (4.4%)</w:t>
            </w:r>
          </w:p>
        </w:tc>
      </w:tr>
      <w:tr w14:paraId="252DCF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BCA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F4E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Negative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AB28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18,736 (32.5%)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ED17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77,749 (17.9%)</w:t>
            </w:r>
          </w:p>
        </w:tc>
      </w:tr>
      <w:tr w14:paraId="70A1E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813E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9FC4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Positive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D79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36,158 (62.7%)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F011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336,759 (77.6%)</w:t>
            </w:r>
          </w:p>
        </w:tc>
      </w:tr>
      <w:tr w14:paraId="5AED44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12B9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PR 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790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Borderline/Unknown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982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3,229 (5.6%)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56B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22,766 (5.2%)</w:t>
            </w:r>
          </w:p>
        </w:tc>
      </w:tr>
      <w:tr w14:paraId="08F327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0EE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ECA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Negative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F54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24,645 (42.7%)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3C05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118,479 (27.3%)</w:t>
            </w:r>
          </w:p>
        </w:tc>
      </w:tr>
      <w:tr w14:paraId="2EEC9E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2999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957A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Positive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73A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29,797 (51.7%)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026C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292,451 (67.4%)</w:t>
            </w:r>
          </w:p>
        </w:tc>
      </w:tr>
      <w:tr w14:paraId="78858B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AE18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Hormone Receptor Status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909E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C7E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17,618 (30.5%)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EB17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72,648 (16.8%)</w:t>
            </w:r>
          </w:p>
        </w:tc>
      </w:tr>
      <w:tr w14:paraId="5479F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155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482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(ER+/PR+)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425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28,715 (49.8%)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199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287,564 (66.3%)</w:t>
            </w:r>
          </w:p>
        </w:tc>
      </w:tr>
      <w:tr w14:paraId="475A61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9C45E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247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HR+ (Other)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96A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8,525 (14.8%)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9B419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54,082 (12.5%)</w:t>
            </w:r>
          </w:p>
        </w:tc>
      </w:tr>
      <w:tr w14:paraId="26301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7FA2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EC0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HR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Equivocal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B35B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2,813 (4.9%)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0511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19,402 (4.5%)</w:t>
            </w:r>
          </w:p>
        </w:tc>
      </w:tr>
      <w:tr w14:paraId="3891E1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E766A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Grade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F842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201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6,738 (11.7%)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6CA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94,490 (21.8%)</w:t>
            </w:r>
          </w:p>
        </w:tc>
      </w:tr>
      <w:tr w14:paraId="7A3E1C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D56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2441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F8F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18,522 (32.1%)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D3EA7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173,322 (40.0%)</w:t>
            </w:r>
          </w:p>
        </w:tc>
      </w:tr>
      <w:tr w14:paraId="3772B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4B2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A6C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Ⅲ/Ⅳ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0E5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27,028 (46.9%)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A001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138,899 (32.0%)</w:t>
            </w:r>
          </w:p>
        </w:tc>
      </w:tr>
      <w:tr w14:paraId="04E733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F34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A23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D1E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5,383 (9.3%)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097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26,985 (6.2%)</w:t>
            </w:r>
          </w:p>
        </w:tc>
      </w:tr>
      <w:tr w14:paraId="5F284B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CBC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Tumor Size Group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A48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≤2cm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DECF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31,866 (55.3%)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240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292,338 (67.4%)</w:t>
            </w:r>
          </w:p>
        </w:tc>
      </w:tr>
      <w:tr w14:paraId="7C7862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662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55B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2-5cm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B92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21,217 (36.8%)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8E1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122,709 (28.3%)</w:t>
            </w:r>
          </w:p>
        </w:tc>
      </w:tr>
      <w:tr w14:paraId="5F22A8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072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36F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&gt;5cm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496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4,229 (7.3%)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5D74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16,990 (3.9%)</w:t>
            </w:r>
          </w:p>
        </w:tc>
      </w:tr>
      <w:tr w14:paraId="2E71FB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E86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41DF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FE9CB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359 (0.6%)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1C3A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1,659 (0.4%)</w:t>
            </w:r>
          </w:p>
        </w:tc>
      </w:tr>
      <w:tr w14:paraId="04486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A9A5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Surgery 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A91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Lumpectomy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E4D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36,415 (63.1%)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73A95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300,969 (69.4%)</w:t>
            </w:r>
          </w:p>
        </w:tc>
      </w:tr>
      <w:tr w14:paraId="3ADA93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2AE0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67C0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Radical Mastectomy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975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12,427 (21.5%)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74AA9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71,272 (16.4%)</w:t>
            </w:r>
          </w:p>
        </w:tc>
      </w:tr>
      <w:tr w14:paraId="3F23D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C42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609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Mastectomy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D67B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8,829 (15.3%)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0FF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61,455 (14.2%)</w:t>
            </w:r>
          </w:p>
        </w:tc>
      </w:tr>
      <w:tr w14:paraId="37B574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0AEC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Radiation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D46E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558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1,009 (1.7%)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551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8,892 (2.1%)</w:t>
            </w:r>
          </w:p>
        </w:tc>
      </w:tr>
      <w:tr w14:paraId="040A3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748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0DD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CA85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34,003 (59.0%)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CCC2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271,083 (62.5%)</w:t>
            </w:r>
          </w:p>
        </w:tc>
      </w:tr>
      <w:tr w14:paraId="1CB8CB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D0A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3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54E5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Unknown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08D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22,659 (39.3%)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9AB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153,721 (35.4%)</w:t>
            </w:r>
          </w:p>
        </w:tc>
      </w:tr>
      <w:tr w14:paraId="28CE49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C65C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Lymph Node Stage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9A2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03EC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36,329 (63.0%)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DE29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307,475 (70.9%)</w:t>
            </w:r>
          </w:p>
        </w:tc>
      </w:tr>
      <w:tr w14:paraId="6EF6FE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6F7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038B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492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15,254 (26.5%)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7986C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94,403 (21.8%)</w:t>
            </w:r>
          </w:p>
        </w:tc>
      </w:tr>
      <w:tr w14:paraId="06C60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103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B6F4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1D2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3,979 (6.9%)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5FEE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21,251 (4.9%)</w:t>
            </w:r>
          </w:p>
        </w:tc>
      </w:tr>
      <w:tr w14:paraId="647B9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EA35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44B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 w:val="24"/>
                <w:szCs w:val="24"/>
                <w:u w:val="none"/>
                <w:lang w:val="en-US" w:eastAsia="zh-CN"/>
              </w:rPr>
              <w:t>N</w:t>
            </w: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9F7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2,109 (3.7%)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429E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10,567 (2.4%)</w:t>
            </w:r>
          </w:p>
        </w:tc>
      </w:tr>
      <w:tr w14:paraId="722D5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A79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i w:val="0"/>
                <w:color w:val="000000"/>
                <w:sz w:val="24"/>
                <w:szCs w:val="24"/>
                <w:u w:val="none"/>
              </w:rPr>
              <w:t>Chemotherapy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A4F8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No/Unknown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CF0F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25,745 (44.6%)</w:t>
            </w:r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B8A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256,858 (59.2%)</w:t>
            </w:r>
          </w:p>
        </w:tc>
      </w:tr>
      <w:tr w14:paraId="3F227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716" w:type="dxa"/>
            <w:vMerge w:val="continue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A67C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934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ECEAF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Yes</w:t>
            </w:r>
          </w:p>
        </w:tc>
        <w:tc>
          <w:tcPr>
            <w:tcW w:w="2221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1BFE4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right="10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31,926 (55.4%)</w:t>
            </w:r>
          </w:p>
        </w:tc>
        <w:tc>
          <w:tcPr>
            <w:tcW w:w="1999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A23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napToGrid w:val="0"/>
              <w:spacing w:before="100" w:after="100" w:line="240" w:lineRule="auto"/>
              <w:ind w:left="100" w:leftChars="0" w:right="100" w:rightChars="0" w:firstLine="0" w:firstLineChars="0"/>
              <w:jc w:val="center"/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Arial" w:cs="Times New Roman"/>
                <w:b w:val="0"/>
                <w:i w:val="0"/>
                <w:color w:val="000000"/>
                <w:sz w:val="24"/>
                <w:szCs w:val="24"/>
                <w:u w:val="none"/>
              </w:rPr>
              <w:t>176,838 (40.8%)</w:t>
            </w:r>
          </w:p>
        </w:tc>
      </w:tr>
    </w:tbl>
    <w:p w14:paraId="35E98B51">
      <w:pPr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Note: continuous variables are presented as Mean (SD) and Median (IQR); categorical variables are presented as n (%).</w:t>
      </w:r>
    </w:p>
    <w:p w14:paraId="5B9282DB">
      <w:pPr>
        <w:widowControl/>
        <w:suppressAutoHyphens/>
        <w:kinsoku w:val="0"/>
        <w:overflowPunct w:val="0"/>
        <w:spacing w:line="360" w:lineRule="auto"/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Abbreviation:</w:t>
      </w:r>
      <w:r>
        <w:rPr>
          <w:rFonts w:hint="eastAsia"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 xml:space="preserve">SD: </w:t>
      </w:r>
      <w:r>
        <w:rPr>
          <w:rFonts w:hint="eastAsia" w:ascii="Times New Roman" w:hAnsi="Times New Roman" w:cs="Times New Roman"/>
          <w:sz w:val="21"/>
          <w:szCs w:val="21"/>
        </w:rPr>
        <w:t>s</w:t>
      </w:r>
      <w:r>
        <w:rPr>
          <w:rFonts w:ascii="Times New Roman" w:hAnsi="Times New Roman" w:cs="Times New Roman"/>
          <w:sz w:val="21"/>
          <w:szCs w:val="21"/>
        </w:rPr>
        <w:t xml:space="preserve">tandard </w:t>
      </w:r>
      <w:r>
        <w:rPr>
          <w:rFonts w:hint="eastAsia" w:ascii="Times New Roman" w:hAnsi="Times New Roman" w:cs="Times New Roman"/>
          <w:sz w:val="21"/>
          <w:szCs w:val="21"/>
        </w:rPr>
        <w:t>d</w:t>
      </w:r>
      <w:r>
        <w:rPr>
          <w:rFonts w:ascii="Times New Roman" w:hAnsi="Times New Roman" w:cs="Times New Roman"/>
          <w:sz w:val="21"/>
          <w:szCs w:val="21"/>
        </w:rPr>
        <w:t xml:space="preserve">eviation; IQR: </w:t>
      </w: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nterquartile </w:t>
      </w:r>
      <w:r>
        <w:rPr>
          <w:rFonts w:hint="eastAsia" w:ascii="Times New Roman" w:hAnsi="Times New Roman" w:cs="Times New Roman"/>
          <w:sz w:val="21"/>
          <w:szCs w:val="21"/>
        </w:rPr>
        <w:t>r</w:t>
      </w:r>
      <w:r>
        <w:rPr>
          <w:rFonts w:ascii="Times New Roman" w:hAnsi="Times New Roman" w:cs="Times New Roman"/>
          <w:sz w:val="21"/>
          <w:szCs w:val="21"/>
        </w:rPr>
        <w:t>ange</w:t>
      </w:r>
      <w:r>
        <w:rPr>
          <w:rFonts w:hint="eastAsia" w:ascii="Times New Roman" w:hAnsi="Times New Roman" w:cs="Times New Roman"/>
          <w:sz w:val="21"/>
          <w:szCs w:val="21"/>
        </w:rPr>
        <w:t xml:space="preserve">; </w:t>
      </w:r>
      <w:r>
        <w:rPr>
          <w:rFonts w:ascii="Times New Roman" w:hAnsi="Times New Roman" w:cs="Times New Roman"/>
          <w:sz w:val="21"/>
          <w:szCs w:val="21"/>
        </w:rPr>
        <w:t>CIBC:</w:t>
      </w:r>
      <w:r>
        <w:rPr>
          <w:rFonts w:hint="eastAsia" w:ascii="Times New Roman" w:hAnsi="Times New Roman" w:cs="Times New Roman"/>
          <w:sz w:val="21"/>
          <w:szCs w:val="21"/>
        </w:rPr>
        <w:t xml:space="preserve"> c</w:t>
      </w:r>
      <w:r>
        <w:rPr>
          <w:rFonts w:ascii="Times New Roman" w:hAnsi="Times New Roman" w:cs="Times New Roman"/>
          <w:sz w:val="21"/>
          <w:szCs w:val="21"/>
        </w:rPr>
        <w:t xml:space="preserve">ontralateral </w:t>
      </w:r>
      <w:r>
        <w:rPr>
          <w:rFonts w:hint="eastAsia" w:ascii="Times New Roman" w:hAnsi="Times New Roman" w:cs="Times New Roman"/>
          <w:sz w:val="21"/>
          <w:szCs w:val="21"/>
        </w:rPr>
        <w:t>i</w:t>
      </w:r>
      <w:r>
        <w:rPr>
          <w:rFonts w:ascii="Times New Roman" w:hAnsi="Times New Roman" w:cs="Times New Roman"/>
          <w:sz w:val="21"/>
          <w:szCs w:val="21"/>
        </w:rPr>
        <w:t xml:space="preserve">nvasive </w:t>
      </w:r>
      <w:r>
        <w:rPr>
          <w:rFonts w:hint="eastAsia" w:ascii="Times New Roman" w:hAnsi="Times New Roman" w:cs="Times New Roman"/>
          <w:sz w:val="21"/>
          <w:szCs w:val="21"/>
        </w:rPr>
        <w:t>b</w:t>
      </w:r>
      <w:r>
        <w:rPr>
          <w:rFonts w:ascii="Times New Roman" w:hAnsi="Times New Roman" w:cs="Times New Roman"/>
          <w:sz w:val="21"/>
          <w:szCs w:val="21"/>
        </w:rPr>
        <w:t xml:space="preserve">reast </w:t>
      </w:r>
      <w:r>
        <w:rPr>
          <w:rFonts w:hint="eastAsia" w:ascii="Times New Roman" w:hAnsi="Times New Roman" w:cs="Times New Roman"/>
          <w:sz w:val="21"/>
          <w:szCs w:val="21"/>
        </w:rPr>
        <w:t>c</w:t>
      </w:r>
      <w:r>
        <w:rPr>
          <w:rFonts w:ascii="Times New Roman" w:hAnsi="Times New Roman" w:cs="Times New Roman"/>
          <w:sz w:val="21"/>
          <w:szCs w:val="21"/>
        </w:rPr>
        <w:t>ancer</w:t>
      </w:r>
      <w:r>
        <w:rPr>
          <w:rFonts w:hint="eastAsia" w:ascii="Times New Roman" w:hAnsi="Times New Roman" w:cs="Times New Roman"/>
          <w:sz w:val="21"/>
          <w:szCs w:val="21"/>
        </w:rPr>
        <w:t>; HR-: ER-negative and PR-negative; HR+ (ER+/PR+): ER-positive and PR-positive; HR+ (Other): positive for either ER or PR, but not both; HR</w:t>
      </w:r>
      <w:r>
        <w:rPr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Equivocal</w:t>
      </w:r>
      <w:r>
        <w:rPr>
          <w:rFonts w:hint="eastAsia" w:ascii="Times New Roman" w:hAnsi="Times New Roman" w:cs="Times New Roman"/>
          <w:sz w:val="21"/>
          <w:szCs w:val="21"/>
        </w:rPr>
        <w:t>: neither ER nor PR was positive, with at least one being borderline or unknown.</w:t>
      </w:r>
    </w:p>
    <w:p w14:paraId="2928F023"/>
    <w:sectPr>
      <w:type w:val="continuous"/>
      <w:pgSz w:w="11900" w:h="16840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Lucida Grande">
    <w:altName w:val="Courier New"/>
    <w:panose1 w:val="020B0600040502020204"/>
    <w:charset w:val="00"/>
    <w:family w:val="auto"/>
    <w:pitch w:val="default"/>
    <w:sig w:usb0="00000000" w:usb1="00000000" w:usb2="00000000" w:usb3="00000000" w:csb0="000001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E925FD"/>
    <w:multiLevelType w:val="multilevel"/>
    <w:tmpl w:val="07E925FD"/>
    <w:lvl w:ilvl="0" w:tentative="0">
      <w:start w:val="1"/>
      <w:numFmt w:val="decimal"/>
      <w:pStyle w:val="2"/>
      <w:lvlText w:val="%1."/>
      <w:lvlJc w:val="left"/>
      <w:pPr>
        <w:ind w:left="360" w:hanging="360"/>
      </w:pPr>
    </w:lvl>
    <w:lvl w:ilvl="1" w:tentative="0">
      <w:start w:val="1"/>
      <w:numFmt w:val="decimal"/>
      <w:pStyle w:val="3"/>
      <w:lvlText w:val="%1.%2."/>
      <w:lvlJc w:val="left"/>
      <w:pPr>
        <w:ind w:left="792" w:hanging="432"/>
      </w:pPr>
    </w:lvl>
    <w:lvl w:ilvl="2" w:tentative="0">
      <w:start w:val="1"/>
      <w:numFmt w:val="decimal"/>
      <w:pStyle w:val="4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08"/>
  <w:hyphenationZone w:val="425"/>
  <w:compat>
    <w:useFELayout/>
    <w:compatSetting w:name="compatibilityMode" w:uri="http://schemas.microsoft.com/office/word" w:val="15"/>
  </w:compat>
  <w:rsids>
    <w:rsidRoot w:val="00000000"/>
    <w:rsid w:val="061850CD"/>
    <w:rsid w:val="13BF7D44"/>
    <w:rsid w:val="34754EBF"/>
    <w:rsid w:val="35902EA8"/>
    <w:rsid w:val="3F2C5303"/>
    <w:rsid w:val="4A2F3EE7"/>
    <w:rsid w:val="57214CA5"/>
    <w:rsid w:val="583827FB"/>
    <w:rsid w:val="6C350E5C"/>
    <w:rsid w:val="714A28C1"/>
    <w:rsid w:val="77F95B40"/>
    <w:rsid w:val="7E5D60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pBdr>
        <w:bottom w:val="single" w:color="auto" w:sz="4" w:space="1"/>
      </w:pBdr>
      <w:spacing w:before="480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hAnsiTheme="majorHAnsi" w:eastAsiaTheme="majorEastAsia" w:cstheme="majorBidi"/>
      <w:b/>
      <w:bCs/>
      <w:sz w:val="26"/>
      <w:szCs w:val="26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hAnsiTheme="majorHAnsi" w:eastAsiaTheme="majorEastAsia" w:cstheme="majorBidi"/>
      <w:b/>
      <w:bCs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0"/>
    <w:semiHidden/>
    <w:unhideWhenUsed/>
    <w:qFormat/>
    <w:uiPriority w:val="99"/>
    <w:rPr>
      <w:rFonts w:ascii="Lucida Grande" w:hAnsi="Lucida Grande"/>
      <w:sz w:val="18"/>
      <w:szCs w:val="18"/>
    </w:rPr>
  </w:style>
  <w:style w:type="paragraph" w:styleId="6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7">
    <w:name w:val="toc 2"/>
    <w:basedOn w:val="1"/>
    <w:next w:val="1"/>
    <w:autoRedefine/>
    <w:unhideWhenUsed/>
    <w:qFormat/>
    <w:uiPriority w:val="39"/>
    <w:pPr>
      <w:spacing w:after="100"/>
      <w:ind w:left="240"/>
    </w:pPr>
  </w:style>
  <w:style w:type="table" w:styleId="9">
    <w:name w:val="Table Professional"/>
    <w:basedOn w:val="8"/>
    <w:semiHidden/>
    <w:unhideWhenUsed/>
    <w:qFormat/>
    <w:uiPriority w:val="99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10">
    <w:name w:val="Light List Accent 2"/>
    <w:basedOn w:val="8"/>
    <w:qFormat/>
    <w:uiPriority w:val="61"/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customStyle="1" w:styleId="12">
    <w:name w:val="strong"/>
    <w:basedOn w:val="11"/>
    <w:qFormat/>
    <w:uiPriority w:val="1"/>
    <w:rPr>
      <w:b/>
    </w:rPr>
  </w:style>
  <w:style w:type="paragraph" w:customStyle="1" w:styleId="13">
    <w:name w:val="centered"/>
    <w:basedOn w:val="1"/>
    <w:qFormat/>
    <w:uiPriority w:val="0"/>
    <w:pPr>
      <w:jc w:val="center"/>
    </w:pPr>
  </w:style>
  <w:style w:type="table" w:customStyle="1" w:styleId="14">
    <w:name w:val="table_template"/>
    <w:basedOn w:val="8"/>
    <w:qFormat/>
    <w:uiPriority w:val="59"/>
    <w:pPr>
      <w:jc w:val="right"/>
    </w:pPr>
    <w:tblPr>
      <w:jc w:val="center"/>
      <w:tblBorders>
        <w:top w:val="single" w:color="auto" w:sz="8" w:space="0"/>
        <w:bottom w:val="single" w:color="auto" w:sz="8" w:space="0"/>
        <w:insideH w:val="single" w:color="auto" w:sz="8" w:space="0"/>
      </w:tblBorders>
    </w:tblPr>
    <w:trPr>
      <w:jc w:val="center"/>
    </w:trPr>
    <w:tblStylePr w:type="firstRow">
      <w:rPr>
        <w:b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">
    <w:name w:val="Titre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Titre 2 Car"/>
    <w:basedOn w:val="11"/>
    <w:link w:val="3"/>
    <w:semiHidden/>
    <w:qFormat/>
    <w:uiPriority w:val="9"/>
    <w:rPr>
      <w:rFonts w:asciiTheme="majorHAnsi" w:hAnsiTheme="majorHAnsi" w:eastAsiaTheme="majorEastAsia" w:cstheme="majorBidi"/>
      <w:b/>
      <w:bCs/>
      <w:sz w:val="26"/>
      <w:szCs w:val="26"/>
    </w:rPr>
  </w:style>
  <w:style w:type="character" w:customStyle="1" w:styleId="17">
    <w:name w:val="Titre 3 Car"/>
    <w:basedOn w:val="11"/>
    <w:link w:val="4"/>
    <w:semiHidden/>
    <w:qFormat/>
    <w:uiPriority w:val="9"/>
    <w:rPr>
      <w:rFonts w:asciiTheme="majorHAnsi" w:hAnsiTheme="majorHAnsi" w:eastAsiaTheme="majorEastAsia" w:cstheme="majorBidi"/>
      <w:b/>
      <w:bCs/>
    </w:rPr>
  </w:style>
  <w:style w:type="paragraph" w:customStyle="1" w:styleId="18">
    <w:name w:val="Image Caption"/>
    <w:basedOn w:val="1"/>
    <w:qFormat/>
    <w:uiPriority w:val="0"/>
    <w:pPr>
      <w:jc w:val="center"/>
    </w:pPr>
    <w:rPr>
      <w:b/>
      <w:i/>
    </w:rPr>
  </w:style>
  <w:style w:type="paragraph" w:customStyle="1" w:styleId="19">
    <w:name w:val="Table Caption"/>
    <w:basedOn w:val="18"/>
    <w:qFormat/>
    <w:uiPriority w:val="0"/>
  </w:style>
  <w:style w:type="character" w:customStyle="1" w:styleId="20">
    <w:name w:val="Texte de bulles Car"/>
    <w:basedOn w:val="11"/>
    <w:link w:val="5"/>
    <w:semiHidden/>
    <w:qFormat/>
    <w:uiPriority w:val="99"/>
    <w:rPr>
      <w:rFonts w:ascii="Lucida Grande" w:hAnsi="Lucida Grande"/>
      <w:sz w:val="18"/>
      <w:szCs w:val="18"/>
    </w:rPr>
  </w:style>
  <w:style w:type="character" w:customStyle="1" w:styleId="21">
    <w:name w:val="reference_id"/>
    <w:basedOn w:val="11"/>
    <w:qFormat/>
    <w:uiPriority w:val="1"/>
    <w:rPr>
      <w:vertAlign w:val="superscript"/>
    </w:rPr>
  </w:style>
  <w:style w:type="paragraph" w:customStyle="1" w:styleId="22">
    <w:name w:val="graphic title"/>
    <w:basedOn w:val="18"/>
    <w:next w:val="1"/>
    <w:qFormat/>
    <w:uiPriority w:val="0"/>
  </w:style>
  <w:style w:type="paragraph" w:customStyle="1" w:styleId="23">
    <w:name w:val="table title"/>
    <w:basedOn w:val="19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412</Words>
  <Characters>2512</Characters>
  <Lines>0</Lines>
  <Paragraphs>0</Paragraphs>
  <TotalTime>1</TotalTime>
  <ScaleCrop>false</ScaleCrop>
  <LinksUpToDate>false</LinksUpToDate>
  <CharactersWithSpaces>2742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2017-02-28T11:18:00Z</dcterms:created>
  <dc:creator>WPS_1615004398</dc:creator>
  <cp:lastModifiedBy>WPS_1615004398</cp:lastModifiedBy>
  <dcterms:modified xsi:type="dcterms:W3CDTF">2026-08-29T06:46:45Z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eyJoZGlkIjoiMDY2NWRhZGRiYTA0OGVlOTRjOTZiM2FiMmYzMzE2MWYiLCJ1c2VySWQiOiIxMTc3NjYzMDMzIn0=</vt:lpwstr>
  </property>
  <property fmtid="{D5CDD505-2E9C-101B-9397-08002B2CF9AE}" pid="3" name="KSOProductBuildVer">
    <vt:lpwstr>2052-12.1.0.28043</vt:lpwstr>
  </property>
  <property fmtid="{D5CDD505-2E9C-101B-9397-08002B2CF9AE}" pid="4" name="ICV">
    <vt:lpwstr>1C0688EDD9BC4DEC93564CD88C80F36E_12</vt:lpwstr>
  </property>
</Properties>
</file>