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693B3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5. Baseline characteristics of patients with ductal carcinoma in situ (DCIS).</w:t>
      </w:r>
    </w:p>
    <w:tbl>
      <w:tblPr>
        <w:tblStyle w:val="2"/>
        <w:tblW w:w="9870" w:type="dxa"/>
        <w:jc w:val="center"/>
        <w:tblBorders>
          <w:top w:val="single" w:color="000000" w:themeColor="text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4098"/>
        <w:gridCol w:w="2723"/>
      </w:tblGrid>
      <w:tr w14:paraId="5E371D66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991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Variable</w:t>
            </w:r>
          </w:p>
        </w:tc>
        <w:tc>
          <w:tcPr>
            <w:tcW w:w="409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845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Value</w:t>
            </w:r>
          </w:p>
        </w:tc>
        <w:tc>
          <w:tcPr>
            <w:tcW w:w="272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9E2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Total</w:t>
            </w:r>
          </w:p>
        </w:tc>
      </w:tr>
      <w:tr w14:paraId="09BBC470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E87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Overall</w:t>
            </w:r>
          </w:p>
        </w:tc>
        <w:tc>
          <w:tcPr>
            <w:tcW w:w="4098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2C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23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670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104,736</w:t>
            </w:r>
          </w:p>
        </w:tc>
      </w:tr>
      <w:tr w14:paraId="0A7F38A4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C59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Race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0AD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Black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EBA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13,081 (12.5%)</w:t>
            </w:r>
          </w:p>
        </w:tc>
      </w:tr>
      <w:tr w14:paraId="74F53686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7EE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7A9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White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36E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91,655 (87.5%)</w:t>
            </w:r>
          </w:p>
        </w:tc>
      </w:tr>
      <w:tr w14:paraId="79E57E4F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A85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Year of diagnosis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CDE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2000-2004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CFC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25,821 (24.7%)</w:t>
            </w:r>
          </w:p>
        </w:tc>
      </w:tr>
      <w:tr w14:paraId="6E3BBDC2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B1D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BE1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2005-2009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A66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24,328 (23.2%)</w:t>
            </w:r>
          </w:p>
        </w:tc>
      </w:tr>
      <w:tr w14:paraId="275D1DDE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EEB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B7C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2010-2014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902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22,681 (21.7%)</w:t>
            </w:r>
          </w:p>
        </w:tc>
      </w:tr>
      <w:tr w14:paraId="69BEDCD3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F0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6AC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2015-2020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11D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31,906 (30.5%)</w:t>
            </w:r>
          </w:p>
        </w:tc>
      </w:tr>
      <w:tr w14:paraId="137EF755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D11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Age at diagnosis (cont.)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F4A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Mean (SD)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7CF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59.79 (11.51)</w:t>
            </w:r>
          </w:p>
        </w:tc>
      </w:tr>
      <w:tr w14:paraId="5DE2A13D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92E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424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Median (IQR)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78D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60.00 (51.00, 68.00)</w:t>
            </w:r>
          </w:p>
        </w:tc>
      </w:tr>
      <w:tr w14:paraId="51B02D29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02F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Age at diagnosis (cat.)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A85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≤50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B46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25,116 (24.0%)</w:t>
            </w:r>
          </w:p>
        </w:tc>
      </w:tr>
      <w:tr w14:paraId="4006BE57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933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9A3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373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29,831 (28.5%)</w:t>
            </w:r>
          </w:p>
        </w:tc>
      </w:tr>
      <w:tr w14:paraId="57276179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DE4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ABC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84B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28,800 (27.5%)</w:t>
            </w:r>
          </w:p>
        </w:tc>
      </w:tr>
      <w:tr w14:paraId="1891412E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F89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4EE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45D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20,989 (20.0%)</w:t>
            </w:r>
          </w:p>
        </w:tc>
      </w:tr>
      <w:tr w14:paraId="0E48424F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F1A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Follow-up time (months)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067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Mean (SD)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BA3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122.11 (72.29)</w:t>
            </w:r>
          </w:p>
        </w:tc>
      </w:tr>
      <w:tr w14:paraId="5C2C9B62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DEF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D8F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Median (IQR)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506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116.00 (56.00, 180.00)</w:t>
            </w:r>
          </w:p>
        </w:tc>
      </w:tr>
      <w:tr w14:paraId="0B428672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C87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CIBC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114A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NO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0E6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100,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771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 xml:space="preserve"> (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96.2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%)</w:t>
            </w:r>
          </w:p>
        </w:tc>
      </w:tr>
      <w:tr w14:paraId="0C383535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F29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FF27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YES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DE5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3,965 (3.8%)</w:t>
            </w:r>
          </w:p>
        </w:tc>
      </w:tr>
      <w:tr w14:paraId="44A48F5A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CF32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highlight w:val="none"/>
                <w:u w:val="none"/>
              </w:rPr>
              <w:t>Time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8090C"/>
                <w:sz w:val="24"/>
                <w:szCs w:val="24"/>
                <w:highlight w:val="none"/>
                <w:u w:val="none"/>
                <w:lang w:val="en-US" w:eastAsia="zh-CN"/>
              </w:rPr>
              <w:t xml:space="preserve"> from diagnosis to CIBC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highlight w:val="none"/>
                <w:u w:val="none"/>
              </w:rPr>
              <w:t>(months)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069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Mean (SD)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9875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88.11 (60.55)</w:t>
            </w:r>
          </w:p>
        </w:tc>
      </w:tr>
      <w:tr w14:paraId="09836AC2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9EED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59A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Median (IQR)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0F65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79.00 (37.00, 130.00)</w:t>
            </w:r>
          </w:p>
        </w:tc>
      </w:tr>
      <w:tr w14:paraId="66AE1BEC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66F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Final status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4AAE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Alive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F54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85,850 (82.0%)</w:t>
            </w:r>
          </w:p>
        </w:tc>
      </w:tr>
      <w:tr w14:paraId="586F9C92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BBD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973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Breast Cancer Death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889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1,316 (1.3%)</w:t>
            </w:r>
          </w:p>
        </w:tc>
      </w:tr>
      <w:tr w14:paraId="513C7050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A4D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4DE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Cardiovascular Death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073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5,331 (5.1%)</w:t>
            </w:r>
          </w:p>
        </w:tc>
      </w:tr>
      <w:tr w14:paraId="2128D7C1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6F6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021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Other Cancer Death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835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3,750 (3.6%)</w:t>
            </w:r>
          </w:p>
        </w:tc>
      </w:tr>
      <w:tr w14:paraId="38CE6E4D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629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8B4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Other Non-Cancer Death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F33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4,791 (4.6%)</w:t>
            </w:r>
          </w:p>
        </w:tc>
      </w:tr>
      <w:tr w14:paraId="4484988F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A7B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28F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 Cause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29A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3,698 (3.5%)</w:t>
            </w:r>
          </w:p>
        </w:tc>
      </w:tr>
      <w:tr w14:paraId="03D4D883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0E9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Laterality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535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Left - origin of primary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AE2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53,650 (51.2%)</w:t>
            </w:r>
          </w:p>
        </w:tc>
      </w:tr>
      <w:tr w14:paraId="6F227309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187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E7E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Right - origin of primary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BFD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51,086 (48.8%)</w:t>
            </w:r>
          </w:p>
        </w:tc>
      </w:tr>
      <w:tr w14:paraId="6641601B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CD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ER Status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EC8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Borderline/Unknown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1F8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28,032 (26.8%)</w:t>
            </w:r>
          </w:p>
        </w:tc>
      </w:tr>
      <w:tr w14:paraId="0AF04632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F07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65A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Negative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F46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11,371 (10.9%)</w:t>
            </w:r>
          </w:p>
        </w:tc>
      </w:tr>
      <w:tr w14:paraId="11EA51BE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1E2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B7D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Positive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16D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65,333 (62.4%)</w:t>
            </w:r>
          </w:p>
        </w:tc>
      </w:tr>
      <w:tr w14:paraId="5207B934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165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PR Status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A61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Borderline/Unknown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B52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34,671 (33.1%)</w:t>
            </w:r>
          </w:p>
        </w:tc>
      </w:tr>
      <w:tr w14:paraId="6BE3A637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78A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841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Negative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BA6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17,372 (16.6%)</w:t>
            </w:r>
          </w:p>
        </w:tc>
      </w:tr>
      <w:tr w14:paraId="4A635FCE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677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D16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Positive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02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52,693 (50.3%)</w:t>
            </w:r>
          </w:p>
        </w:tc>
      </w:tr>
      <w:tr w14:paraId="46846867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BF2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Hormone Receptor Status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BB7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HR-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039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9,951 (9.5%)</w:t>
            </w:r>
          </w:p>
        </w:tc>
      </w:tr>
      <w:tr w14:paraId="3CF28B29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E0B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392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B45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52,038 (49.7%)</w:t>
            </w:r>
          </w:p>
        </w:tc>
      </w:tr>
      <w:tr w14:paraId="335F34ED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240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337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437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13,950 (13.3%)</w:t>
            </w:r>
          </w:p>
        </w:tc>
      </w:tr>
      <w:tr w14:paraId="295E7E8C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946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4B8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Equivocal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11E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28,797 (27.5%)</w:t>
            </w:r>
          </w:p>
        </w:tc>
      </w:tr>
      <w:tr w14:paraId="2DE46176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800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Grade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42E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Ⅰ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BD7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13,274 (12.7%)</w:t>
            </w:r>
          </w:p>
        </w:tc>
      </w:tr>
      <w:tr w14:paraId="7C7E1099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0B4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AB6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Ⅱ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D59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35,786 (34.2%)</w:t>
            </w:r>
          </w:p>
        </w:tc>
      </w:tr>
      <w:tr w14:paraId="5E5D7A00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177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2DC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Ⅲ/Ⅳ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37F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40,657 (38.8%)</w:t>
            </w:r>
          </w:p>
        </w:tc>
      </w:tr>
      <w:tr w14:paraId="352CEE45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1C6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D94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ED3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15,019 (14.3%)</w:t>
            </w:r>
          </w:p>
        </w:tc>
      </w:tr>
      <w:tr w14:paraId="24658B14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AE4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Histologic Subtype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A09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Other ductal, not otherwise specified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BC5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64,944 (62.0%)</w:t>
            </w:r>
          </w:p>
        </w:tc>
      </w:tr>
      <w:tr w14:paraId="79EF985E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692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A40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Comedocarcinoma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8E7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12,680 (12.1%)</w:t>
            </w:r>
          </w:p>
        </w:tc>
      </w:tr>
      <w:tr w14:paraId="11B4266A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591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DA8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Cribriform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E62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11,906 (11.4%)</w:t>
            </w:r>
          </w:p>
        </w:tc>
      </w:tr>
      <w:tr w14:paraId="6E5F56D2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3C5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569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Ductal, solid type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E54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8,286 (7.9%)</w:t>
            </w:r>
          </w:p>
        </w:tc>
      </w:tr>
      <w:tr w14:paraId="0E2BCC40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2C8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064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Micropapillary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703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3,122 (3.0%)</w:t>
            </w:r>
          </w:p>
        </w:tc>
      </w:tr>
      <w:tr w14:paraId="7F41E429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59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A76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Papillary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FC3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3,798 (3.6%)</w:t>
            </w:r>
          </w:p>
        </w:tc>
      </w:tr>
      <w:tr w14:paraId="2D3C3809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1B7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737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≤2cm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E73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63,229 (60.4%)</w:t>
            </w:r>
          </w:p>
        </w:tc>
      </w:tr>
      <w:tr w14:paraId="73943B40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9CD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B78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2-5cm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0CA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12,865 (12.3%)</w:t>
            </w:r>
          </w:p>
        </w:tc>
      </w:tr>
      <w:tr w14:paraId="789DFB68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EE3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B79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&gt;5cm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C66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3,190 (3.0%)</w:t>
            </w:r>
          </w:p>
        </w:tc>
      </w:tr>
      <w:tr w14:paraId="1A24900F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AA9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8DE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26A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25,452 (24.3%)</w:t>
            </w:r>
          </w:p>
        </w:tc>
      </w:tr>
      <w:tr w14:paraId="6D1F9286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983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870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Lumpectomy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11B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84,087 (80.3%)</w:t>
            </w:r>
          </w:p>
        </w:tc>
      </w:tr>
      <w:tr w14:paraId="38D2EC29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629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542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E5C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20,649 (19.7%)</w:t>
            </w:r>
          </w:p>
        </w:tc>
      </w:tr>
      <w:tr w14:paraId="4D66052D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FD8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82F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NO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E7D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3,309 (3.2%)</w:t>
            </w:r>
          </w:p>
        </w:tc>
      </w:tr>
      <w:tr w14:paraId="76E597A5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B0C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B6B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AEE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54,831 (52.4%)</w:t>
            </w:r>
          </w:p>
        </w:tc>
      </w:tr>
      <w:tr w14:paraId="1CE66A1C">
        <w:tblPrEx>
          <w:tblBorders>
            <w:top w:val="single" w:color="000000" w:themeColor="text1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9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C32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098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312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723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D70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46,596 (44.5%)</w:t>
            </w:r>
          </w:p>
        </w:tc>
      </w:tr>
    </w:tbl>
    <w:p w14:paraId="27355BE8">
      <w:pPr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Note: continuous variables are presented as Mean (SD) and Median (IQR); categorical variables are presented as n (%).</w:t>
      </w:r>
    </w:p>
    <w:p w14:paraId="45139A17">
      <w:pPr>
        <w:widowControl/>
        <w:suppressAutoHyphens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Abbreviation:</w:t>
      </w:r>
      <w:r>
        <w:rPr>
          <w:rFonts w:hint="eastAsia"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SD: </w:t>
      </w:r>
      <w:r>
        <w:rPr>
          <w:rFonts w:hint="eastAsia" w:ascii="Times New Roman" w:hAnsi="Times New Roman" w:cs="Times New Roman"/>
          <w:sz w:val="21"/>
          <w:szCs w:val="21"/>
        </w:rPr>
        <w:t>s</w:t>
      </w:r>
      <w:r>
        <w:rPr>
          <w:rFonts w:ascii="Times New Roman" w:hAnsi="Times New Roman" w:cs="Times New Roman"/>
          <w:sz w:val="21"/>
          <w:szCs w:val="21"/>
        </w:rPr>
        <w:t xml:space="preserve">tandard </w:t>
      </w:r>
      <w:r>
        <w:rPr>
          <w:rFonts w:hint="eastAsia" w:ascii="Times New Roman" w:hAnsi="Times New Roman" w:cs="Times New Roman"/>
          <w:sz w:val="21"/>
          <w:szCs w:val="21"/>
        </w:rPr>
        <w:t>d</w:t>
      </w:r>
      <w:r>
        <w:rPr>
          <w:rFonts w:ascii="Times New Roman" w:hAnsi="Times New Roman" w:cs="Times New Roman"/>
          <w:sz w:val="21"/>
          <w:szCs w:val="21"/>
        </w:rPr>
        <w:t xml:space="preserve">eviation; IQR: </w:t>
      </w:r>
      <w:r>
        <w:rPr>
          <w:rFonts w:hint="eastAsia"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nterquartile </w:t>
      </w:r>
      <w:r>
        <w:rPr>
          <w:rFonts w:hint="eastAsia" w:ascii="Times New Roman" w:hAnsi="Times New Roman" w:cs="Times New Roman"/>
          <w:sz w:val="21"/>
          <w:szCs w:val="21"/>
        </w:rPr>
        <w:t>r</w:t>
      </w:r>
      <w:r>
        <w:rPr>
          <w:rFonts w:ascii="Times New Roman" w:hAnsi="Times New Roman" w:cs="Times New Roman"/>
          <w:sz w:val="21"/>
          <w:szCs w:val="21"/>
        </w:rPr>
        <w:t>ange</w:t>
      </w:r>
      <w:r>
        <w:rPr>
          <w:rFonts w:hint="eastAsia" w:ascii="Times New Roman" w:hAnsi="Times New Roman" w:cs="Times New Roman"/>
          <w:sz w:val="21"/>
          <w:szCs w:val="21"/>
        </w:rPr>
        <w:t xml:space="preserve">; </w:t>
      </w:r>
      <w:r>
        <w:rPr>
          <w:rFonts w:ascii="Times New Roman" w:hAnsi="Times New Roman" w:cs="Times New Roman"/>
          <w:sz w:val="21"/>
          <w:szCs w:val="21"/>
        </w:rPr>
        <w:t>CIBC:</w:t>
      </w:r>
      <w:r>
        <w:rPr>
          <w:rFonts w:hint="eastAsia" w:ascii="Times New Roman" w:hAnsi="Times New Roman" w:cs="Times New Roman"/>
          <w:sz w:val="21"/>
          <w:szCs w:val="21"/>
        </w:rPr>
        <w:t xml:space="preserve"> c</w:t>
      </w:r>
      <w:r>
        <w:rPr>
          <w:rFonts w:ascii="Times New Roman" w:hAnsi="Times New Roman" w:cs="Times New Roman"/>
          <w:sz w:val="21"/>
          <w:szCs w:val="21"/>
        </w:rPr>
        <w:t xml:space="preserve">ontralateral </w:t>
      </w:r>
      <w:r>
        <w:rPr>
          <w:rFonts w:hint="eastAsia"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nvasive </w:t>
      </w:r>
      <w:r>
        <w:rPr>
          <w:rFonts w:hint="eastAsia" w:ascii="Times New Roman" w:hAnsi="Times New Roman" w:cs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 xml:space="preserve">reast </w:t>
      </w:r>
      <w:r>
        <w:rPr>
          <w:rFonts w:hint="eastAsia" w:ascii="Times New Roman" w:hAnsi="Times New Roman" w:cs="Times New Roman"/>
          <w:sz w:val="21"/>
          <w:szCs w:val="21"/>
        </w:rPr>
        <w:t>c</w:t>
      </w:r>
      <w:r>
        <w:rPr>
          <w:rFonts w:ascii="Times New Roman" w:hAnsi="Times New Roman" w:cs="Times New Roman"/>
          <w:sz w:val="21"/>
          <w:szCs w:val="21"/>
        </w:rPr>
        <w:t>ancer</w:t>
      </w:r>
      <w:r>
        <w:rPr>
          <w:rFonts w:hint="eastAsia" w:ascii="Times New Roman" w:hAnsi="Times New Roman" w:cs="Times New Roman"/>
          <w:sz w:val="21"/>
          <w:szCs w:val="21"/>
        </w:rPr>
        <w:t>; HR-: ER-negative and PR-negative; HR+ (ER+/PR+): ER-positive and PR-positive; HR+ (Other):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unknown.</w:t>
      </w:r>
    </w:p>
    <w:p w14:paraId="6AC058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B6694"/>
    <w:rsid w:val="27EB43A6"/>
    <w:rsid w:val="30345287"/>
    <w:rsid w:val="344D592E"/>
    <w:rsid w:val="40D31663"/>
    <w:rsid w:val="631F2860"/>
    <w:rsid w:val="6512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323</Words>
  <Characters>1962</Characters>
  <Lines>0</Lines>
  <Paragraphs>0</Paragraphs>
  <TotalTime>0</TotalTime>
  <ScaleCrop>false</ScaleCrop>
  <LinksUpToDate>false</LinksUpToDate>
  <CharactersWithSpaces>2150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2026-05-31T12:24:00Z</dcterms:created>
  <dc:creator>guo</dc:creator>
  <cp:lastModifiedBy>WPS_1615004398</cp:lastModifiedBy>
  <dcterms:modified xsi:type="dcterms:W3CDTF">2026-09-11T12:26:54Z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33633A5E38C845459EA469A57B1F7485_12</vt:lpwstr>
  </property>
</Properties>
</file>