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601A58">
      <w:pPr>
        <w:spacing w:line="360" w:lineRule="auto"/>
        <w:rPr>
          <w:rFonts w:hint="default" w:ascii="Times New Roman" w:hAnsi="Times New Roman" w:eastAsia="Arial" w:cs="Times New Roman"/>
          <w:b/>
          <w:i w:val="0"/>
          <w:color w:val="000000"/>
          <w:sz w:val="24"/>
          <w:szCs w:val="24"/>
          <w:u w:val="none"/>
        </w:rPr>
      </w:pPr>
      <w:r>
        <w:rPr>
          <w:rFonts w:hint="eastAsia" w:ascii="Times New Roman" w:hAnsi="Times New Roman" w:cs="Times New Roman"/>
          <w:b/>
          <w:bCs/>
          <w:sz w:val="24"/>
        </w:rPr>
        <w:t>Supplementary Table 6. Baseline characteristics of Black and White patients with ductal carcinoma in situ (DCIS).</w:t>
      </w:r>
    </w:p>
    <w:tbl>
      <w:tblPr>
        <w:tblStyle w:val="8"/>
        <w:tblW w:w="987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6"/>
        <w:gridCol w:w="3222"/>
        <w:gridCol w:w="2036"/>
        <w:gridCol w:w="2036"/>
      </w:tblGrid>
      <w:tr w14:paraId="59ED8E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63E5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  <w:t>Variable</w:t>
            </w:r>
          </w:p>
        </w:tc>
        <w:tc>
          <w:tcPr>
            <w:tcW w:w="322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55CC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  <w:t>Value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A757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Black</w:t>
            </w:r>
          </w:p>
        </w:tc>
        <w:tc>
          <w:tcPr>
            <w:tcW w:w="203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264A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White</w:t>
            </w:r>
          </w:p>
        </w:tc>
      </w:tr>
      <w:tr w14:paraId="141053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CB4A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Overall</w:t>
            </w:r>
          </w:p>
        </w:tc>
        <w:tc>
          <w:tcPr>
            <w:tcW w:w="322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8B97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8699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13,081</w:t>
            </w:r>
          </w:p>
        </w:tc>
        <w:tc>
          <w:tcPr>
            <w:tcW w:w="203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CF0B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91,655</w:t>
            </w:r>
          </w:p>
        </w:tc>
      </w:tr>
      <w:tr w14:paraId="2EF53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F8E9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Year of diagnosis</w:t>
            </w: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7D68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2000-2004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BB5D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2,576 (19.7%)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6212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23,245 (25.4%)</w:t>
            </w:r>
          </w:p>
        </w:tc>
      </w:tr>
      <w:tr w14:paraId="3243E5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19E1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B746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2005-2009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3704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2,805 (21.4%)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3102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21,523 (23.5%)</w:t>
            </w:r>
          </w:p>
        </w:tc>
      </w:tr>
      <w:tr w14:paraId="1D5166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1ACF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4B2C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2010-2014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6D06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2,990 (22.9%)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130D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19,691 (21.5%)</w:t>
            </w:r>
          </w:p>
        </w:tc>
      </w:tr>
      <w:tr w14:paraId="6E808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BDAE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6E1E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2015-2020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25EF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4,710 (36.0%)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235B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27,196 (29.7%)</w:t>
            </w:r>
          </w:p>
        </w:tc>
      </w:tr>
      <w:tr w14:paraId="19896C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9E3E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Age at diagnosis (cont.)</w:t>
            </w: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FBD4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Mean (SD)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8F01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58.83 (11.38)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C873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59.93 (11.53)</w:t>
            </w:r>
          </w:p>
        </w:tc>
      </w:tr>
      <w:tr w14:paraId="65FAF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9F69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D1EA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Median (IQR)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1D7E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59.00 (50.00, 67.00)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0627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60.00 (51.00, 69.00)</w:t>
            </w:r>
          </w:p>
        </w:tc>
      </w:tr>
      <w:tr w14:paraId="2616B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C455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Age at diagnosis (cat.)</w:t>
            </w: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F55A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≤50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02D3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3,297 (25.2%)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FECB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21,819 (23.8%)</w:t>
            </w:r>
          </w:p>
        </w:tc>
      </w:tr>
      <w:tr w14:paraId="73D62D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972B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D42D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51-60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D65E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3,911 (29.9%)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700A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25,920 (28.3%)</w:t>
            </w:r>
          </w:p>
        </w:tc>
      </w:tr>
      <w:tr w14:paraId="153E1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5F00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F232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61-70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9D86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3,651 (27.9%)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069D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25,149 (27.4%)</w:t>
            </w:r>
          </w:p>
        </w:tc>
      </w:tr>
      <w:tr w14:paraId="4562CF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10DE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F7C0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 w:bidi="ar-SA"/>
              </w:rPr>
              <w:t>≥71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304B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2,222 (17.0%)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59F3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18,767 (20.5%)</w:t>
            </w:r>
          </w:p>
        </w:tc>
      </w:tr>
      <w:tr w14:paraId="162344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7256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Follow-up time (months)</w:t>
            </w: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3891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Mean (SD)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5F84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111.58 (69.42)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322F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123.62 (72.57)</w:t>
            </w:r>
          </w:p>
        </w:tc>
      </w:tr>
      <w:tr w14:paraId="06D322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6D57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CCAF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Median (IQR)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EA88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102.00 (49.00, 164.00)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CA0A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118.00 (58.00, 182.00)</w:t>
            </w:r>
          </w:p>
        </w:tc>
      </w:tr>
      <w:tr w14:paraId="4C118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DCDA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CIBC</w:t>
            </w: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93FA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0543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12599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 xml:space="preserve"> 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96.3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8D94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88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,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172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 xml:space="preserve"> 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96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.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%)</w:t>
            </w:r>
          </w:p>
        </w:tc>
      </w:tr>
      <w:tr w14:paraId="18DEBA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91A4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3F17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472E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482 (3.7%)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9EA2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3,483 (3.8%)</w:t>
            </w:r>
          </w:p>
        </w:tc>
      </w:tr>
      <w:tr w14:paraId="5E09EA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139C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Final status</w:t>
            </w: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0D87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Alive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F6DF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10,641 (81.3%)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4966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75,209 (82.1%)</w:t>
            </w:r>
          </w:p>
        </w:tc>
      </w:tr>
      <w:tr w14:paraId="14852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7095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C13A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Breast Cancer Death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2E72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264 (2.0%)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A5F7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1,052 (1.1%)</w:t>
            </w:r>
          </w:p>
        </w:tc>
      </w:tr>
      <w:tr w14:paraId="57B43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298F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0963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Cardiovascular Death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B15A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715 (5.5%)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B0E7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4,616 (5.0%)</w:t>
            </w:r>
          </w:p>
        </w:tc>
      </w:tr>
      <w:tr w14:paraId="4451D3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701B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9FAA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Other Cancer Death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A3B2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462 (3.5%)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BCCB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3,288 (3.6%)</w:t>
            </w:r>
          </w:p>
        </w:tc>
      </w:tr>
      <w:tr w14:paraId="33E444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0B69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AEF7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Other Non-Cancer Death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5018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565 (4.3%)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61E9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4,226 (4.6%)</w:t>
            </w:r>
          </w:p>
        </w:tc>
      </w:tr>
      <w:tr w14:paraId="2A23E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A123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FEAC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Unknown Cause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8DD7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434 (3.3%)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8069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3,264 (3.6%)</w:t>
            </w:r>
          </w:p>
        </w:tc>
      </w:tr>
      <w:tr w14:paraId="2DB2FB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91FA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Laterality</w:t>
            </w: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703B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Left - origin of primary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F03D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6,603 (50.5%)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0982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47,047 (51.3%)</w:t>
            </w:r>
          </w:p>
        </w:tc>
      </w:tr>
      <w:tr w14:paraId="462A69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F60F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0395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Right - origin of primary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2E7D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6,478 (49.5%)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58B2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44,608 (48.7%)</w:t>
            </w:r>
          </w:p>
        </w:tc>
      </w:tr>
      <w:tr w14:paraId="18518F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A556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ER Status</w:t>
            </w: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1754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Borderline/Unknown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E19F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2,853 (21.8%)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F85B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25,179 (27.5%)</w:t>
            </w:r>
          </w:p>
        </w:tc>
      </w:tr>
      <w:tr w14:paraId="464F3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459B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E1BE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Negative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CDAE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1,294 (9.9%)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2240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10,077 (11.0%)</w:t>
            </w:r>
          </w:p>
        </w:tc>
      </w:tr>
      <w:tr w14:paraId="1887E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4F3C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B25D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Positive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7783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8,934 (68.3%)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91DB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56,399 (61.5%)</w:t>
            </w:r>
          </w:p>
        </w:tc>
      </w:tr>
      <w:tr w14:paraId="4F266F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2A06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PR Status</w:t>
            </w: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3C02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Borderline/Unknown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21E8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3,682 (28.1%)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8A29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30,989 (33.8%)</w:t>
            </w:r>
          </w:p>
        </w:tc>
      </w:tr>
      <w:tr w14:paraId="77906D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9C92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B4D8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Negative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EA94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2,070 (15.8%)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60EE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15,302 (16.7%)</w:t>
            </w:r>
          </w:p>
        </w:tc>
      </w:tr>
      <w:tr w14:paraId="506147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DE57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84DF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Positive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97EF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7,329 (56.0%)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20FB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45,364 (49.5%)</w:t>
            </w:r>
          </w:p>
        </w:tc>
      </w:tr>
      <w:tr w14:paraId="2B6D0F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9DB1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Hormone Receptor Status</w:t>
            </w: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A472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7EDB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1,146 (8.8%)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A087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8,805 (9.6%)</w:t>
            </w:r>
          </w:p>
        </w:tc>
      </w:tr>
      <w:tr w14:paraId="378E7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24D9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4B89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HR+ (ER+/PR+)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836D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7,249 (55.4%)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FBC8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44,789 (48.9%)</w:t>
            </w:r>
          </w:p>
        </w:tc>
      </w:tr>
      <w:tr w14:paraId="7A7172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D0D3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9C7D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HR+ (Other)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E11C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1,765 (13.5%)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FCE2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12,185 (13.3%)</w:t>
            </w:r>
          </w:p>
        </w:tc>
      </w:tr>
      <w:tr w14:paraId="136777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8BDF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1654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Equivocal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F168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2,921 (22.3%)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2364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25,876 (28.2%)</w:t>
            </w:r>
          </w:p>
        </w:tc>
      </w:tr>
      <w:tr w14:paraId="736588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37E7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Grade</w:t>
            </w: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50A8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4C29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1,816 (13.9%)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474A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11,458 (12.5%)</w:t>
            </w:r>
          </w:p>
        </w:tc>
      </w:tr>
      <w:tr w14:paraId="3284E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CD39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4C61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73A8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4,640 (35.5%)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8BA2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31,146 (34.0%)</w:t>
            </w:r>
          </w:p>
        </w:tc>
      </w:tr>
      <w:tr w14:paraId="19D9D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F7A9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CA1B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Ⅲ/Ⅳ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E57E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4,571 (34.9%)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1949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36,086 (39.4%)</w:t>
            </w:r>
          </w:p>
        </w:tc>
      </w:tr>
      <w:tr w14:paraId="69A156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AD2F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BBF6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Unknown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49CB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2,054 (15.7%)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290B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12,965 (14.1%)</w:t>
            </w:r>
          </w:p>
        </w:tc>
      </w:tr>
      <w:tr w14:paraId="7F12EB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BD66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Histologic Subtype</w:t>
            </w: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C1E0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Other ductal, not otherwise specified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6163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8,246 (63.0%)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96A1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56,698 (61.9%)</w:t>
            </w:r>
          </w:p>
        </w:tc>
      </w:tr>
      <w:tr w14:paraId="1B813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E250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9804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Comedocarcinoma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2F78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1,441 (11.0%)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2C97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11,239 (12.3%)</w:t>
            </w:r>
          </w:p>
        </w:tc>
      </w:tr>
      <w:tr w14:paraId="513C57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BB43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7D44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Cribriform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2263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1,407 (10.8%)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6079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10,499 (11.5%)</w:t>
            </w:r>
          </w:p>
        </w:tc>
      </w:tr>
      <w:tr w14:paraId="6AC912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C909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93F9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Ductal, solid 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9D29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867 (6.6%)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679A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7,419 (8.1%)</w:t>
            </w:r>
          </w:p>
        </w:tc>
      </w:tr>
      <w:tr w14:paraId="07E7CC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258A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C8DD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Micropapillary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861B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412 (3.1%)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036C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2,710 (3.0%)</w:t>
            </w:r>
          </w:p>
        </w:tc>
      </w:tr>
      <w:tr w14:paraId="6C87FC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B9B3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AD5D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Papillary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634A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708 (5.4%)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6F03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3,090 (3.4%)</w:t>
            </w:r>
          </w:p>
        </w:tc>
      </w:tr>
      <w:tr w14:paraId="46EFC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59EC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Tumor Size Group</w:t>
            </w: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5A7A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≤2cm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ADAC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7,477 (57.2%)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990F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55,752 (60.8%)</w:t>
            </w:r>
          </w:p>
        </w:tc>
      </w:tr>
      <w:tr w14:paraId="679284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493A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037A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2-5cm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6E3F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1,734 (13.3%)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C9C7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11,131 (12.1%)</w:t>
            </w:r>
          </w:p>
        </w:tc>
      </w:tr>
      <w:tr w14:paraId="3428C5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0B65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BE7B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&gt;5cm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4249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576 (4.4%)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9EE5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2,614 (2.9%)</w:t>
            </w:r>
          </w:p>
        </w:tc>
      </w:tr>
      <w:tr w14:paraId="5695A1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C244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B152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Unknown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9129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3,294 (25.2%)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53D0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22,158 (24.2%)</w:t>
            </w:r>
          </w:p>
        </w:tc>
      </w:tr>
      <w:tr w14:paraId="361D8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C440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Surgery Type</w:t>
            </w: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B931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Lumpectomy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6FB3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10,057 (76.9%)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8416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74,030 (80.8%)</w:t>
            </w:r>
          </w:p>
        </w:tc>
      </w:tr>
      <w:tr w14:paraId="5DF0B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6569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56D1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Mastectomy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7D9D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3,024 (23.1%)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6CE8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17,625 (19.2%)</w:t>
            </w:r>
          </w:p>
        </w:tc>
      </w:tr>
      <w:tr w14:paraId="18B42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D968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Radiation</w:t>
            </w: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5DBA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E253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349 (2.7%)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405A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2,960 (3.2%)</w:t>
            </w:r>
          </w:p>
        </w:tc>
      </w:tr>
      <w:tr w14:paraId="1C20B7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8122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BD9C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YES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F5BF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6,726 (51.4%)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8F07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48,105 (52.5%)</w:t>
            </w:r>
          </w:p>
        </w:tc>
      </w:tr>
      <w:tr w14:paraId="117B68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6" w:type="dxa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0F08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3E60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Unknown</w:t>
            </w:r>
          </w:p>
        </w:tc>
        <w:tc>
          <w:tcPr>
            <w:tcW w:w="20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56CE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6,006 (45.9%)</w:t>
            </w:r>
          </w:p>
        </w:tc>
        <w:tc>
          <w:tcPr>
            <w:tcW w:w="20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8E84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40,590 (44.3%)</w:t>
            </w:r>
          </w:p>
        </w:tc>
      </w:tr>
    </w:tbl>
    <w:p w14:paraId="0B465D00">
      <w:pPr>
        <w:spacing w:line="360" w:lineRule="auto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Note: continuous variables are presented as Mean (SD) and Median (IQR); categorical variables are presented as n (%).</w:t>
      </w:r>
    </w:p>
    <w:p w14:paraId="256A8D56">
      <w:pPr>
        <w:widowControl/>
        <w:suppressAutoHyphens/>
        <w:kinsoku w:val="0"/>
        <w:overflowPunct w:val="0"/>
        <w:spacing w:line="360" w:lineRule="auto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Abbreviation:</w:t>
      </w:r>
      <w:r>
        <w:rPr>
          <w:rFonts w:hint="eastAsia"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SD: </w:t>
      </w:r>
      <w:r>
        <w:rPr>
          <w:rFonts w:hint="eastAsia" w:ascii="Times New Roman" w:hAnsi="Times New Roman" w:cs="Times New Roman"/>
          <w:sz w:val="21"/>
          <w:szCs w:val="21"/>
        </w:rPr>
        <w:t>s</w:t>
      </w:r>
      <w:r>
        <w:rPr>
          <w:rFonts w:ascii="Times New Roman" w:hAnsi="Times New Roman" w:cs="Times New Roman"/>
          <w:sz w:val="21"/>
          <w:szCs w:val="21"/>
        </w:rPr>
        <w:t xml:space="preserve">tandard </w:t>
      </w:r>
      <w:r>
        <w:rPr>
          <w:rFonts w:hint="eastAsia" w:ascii="Times New Roman" w:hAnsi="Times New Roman" w:cs="Times New Roman"/>
          <w:sz w:val="21"/>
          <w:szCs w:val="21"/>
        </w:rPr>
        <w:t>d</w:t>
      </w:r>
      <w:r>
        <w:rPr>
          <w:rFonts w:ascii="Times New Roman" w:hAnsi="Times New Roman" w:cs="Times New Roman"/>
          <w:sz w:val="21"/>
          <w:szCs w:val="21"/>
        </w:rPr>
        <w:t xml:space="preserve">eviation; IQR: </w:t>
      </w:r>
      <w:r>
        <w:rPr>
          <w:rFonts w:hint="eastAsia" w:ascii="Times New Roman" w:hAnsi="Times New Roman" w:cs="Times New Roman"/>
          <w:sz w:val="21"/>
          <w:szCs w:val="21"/>
        </w:rPr>
        <w:t>i</w:t>
      </w:r>
      <w:r>
        <w:rPr>
          <w:rFonts w:ascii="Times New Roman" w:hAnsi="Times New Roman" w:cs="Times New Roman"/>
          <w:sz w:val="21"/>
          <w:szCs w:val="21"/>
        </w:rPr>
        <w:t xml:space="preserve">nterquartile </w:t>
      </w:r>
      <w:r>
        <w:rPr>
          <w:rFonts w:hint="eastAsia" w:ascii="Times New Roman" w:hAnsi="Times New Roman" w:cs="Times New Roman"/>
          <w:sz w:val="21"/>
          <w:szCs w:val="21"/>
        </w:rPr>
        <w:t>r</w:t>
      </w:r>
      <w:r>
        <w:rPr>
          <w:rFonts w:ascii="Times New Roman" w:hAnsi="Times New Roman" w:cs="Times New Roman"/>
          <w:sz w:val="21"/>
          <w:szCs w:val="21"/>
        </w:rPr>
        <w:t>ange</w:t>
      </w:r>
      <w:r>
        <w:rPr>
          <w:rFonts w:hint="eastAsia" w:ascii="Times New Roman" w:hAnsi="Times New Roman" w:cs="Times New Roman"/>
          <w:sz w:val="21"/>
          <w:szCs w:val="21"/>
        </w:rPr>
        <w:t xml:space="preserve">; </w:t>
      </w:r>
      <w:r>
        <w:rPr>
          <w:rFonts w:ascii="Times New Roman" w:hAnsi="Times New Roman" w:cs="Times New Roman"/>
          <w:sz w:val="21"/>
          <w:szCs w:val="21"/>
        </w:rPr>
        <w:t>CIBC:</w:t>
      </w:r>
      <w:r>
        <w:rPr>
          <w:rFonts w:hint="eastAsia" w:ascii="Times New Roman" w:hAnsi="Times New Roman" w:cs="Times New Roman"/>
          <w:sz w:val="21"/>
          <w:szCs w:val="21"/>
        </w:rPr>
        <w:t xml:space="preserve"> c</w:t>
      </w:r>
      <w:r>
        <w:rPr>
          <w:rFonts w:ascii="Times New Roman" w:hAnsi="Times New Roman" w:cs="Times New Roman"/>
          <w:sz w:val="21"/>
          <w:szCs w:val="21"/>
        </w:rPr>
        <w:t xml:space="preserve">ontralateral </w:t>
      </w:r>
      <w:r>
        <w:rPr>
          <w:rFonts w:hint="eastAsia" w:ascii="Times New Roman" w:hAnsi="Times New Roman" w:cs="Times New Roman"/>
          <w:sz w:val="21"/>
          <w:szCs w:val="21"/>
        </w:rPr>
        <w:t>i</w:t>
      </w:r>
      <w:r>
        <w:rPr>
          <w:rFonts w:ascii="Times New Roman" w:hAnsi="Times New Roman" w:cs="Times New Roman"/>
          <w:sz w:val="21"/>
          <w:szCs w:val="21"/>
        </w:rPr>
        <w:t xml:space="preserve">nvasive </w:t>
      </w:r>
      <w:r>
        <w:rPr>
          <w:rFonts w:hint="eastAsia" w:ascii="Times New Roman" w:hAnsi="Times New Roman" w:cs="Times New Roman"/>
          <w:sz w:val="21"/>
          <w:szCs w:val="21"/>
        </w:rPr>
        <w:t>b</w:t>
      </w:r>
      <w:r>
        <w:rPr>
          <w:rFonts w:ascii="Times New Roman" w:hAnsi="Times New Roman" w:cs="Times New Roman"/>
          <w:sz w:val="21"/>
          <w:szCs w:val="21"/>
        </w:rPr>
        <w:t xml:space="preserve">reast </w:t>
      </w:r>
      <w:r>
        <w:rPr>
          <w:rFonts w:hint="eastAsia" w:ascii="Times New Roman" w:hAnsi="Times New Roman" w:cs="Times New Roman"/>
          <w:sz w:val="21"/>
          <w:szCs w:val="21"/>
        </w:rPr>
        <w:t>c</w:t>
      </w:r>
      <w:r>
        <w:rPr>
          <w:rFonts w:ascii="Times New Roman" w:hAnsi="Times New Roman" w:cs="Times New Roman"/>
          <w:sz w:val="21"/>
          <w:szCs w:val="21"/>
        </w:rPr>
        <w:t>ancer</w:t>
      </w:r>
      <w:r>
        <w:rPr>
          <w:rFonts w:hint="eastAsia" w:ascii="Times New Roman" w:hAnsi="Times New Roman" w:cs="Times New Roman"/>
          <w:sz w:val="21"/>
          <w:szCs w:val="21"/>
        </w:rPr>
        <w:t>; HR-: ER-negative and PR-negative; HR+ (ER+/PR+): ER-positive and PR-positive; HR+ (Other): positive for either ER or PR, but not both; HR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Equivocal</w:t>
      </w:r>
      <w:r>
        <w:rPr>
          <w:rFonts w:hint="eastAsia" w:ascii="Times New Roman" w:hAnsi="Times New Roman" w:cs="Times New Roman"/>
          <w:sz w:val="21"/>
          <w:szCs w:val="21"/>
        </w:rPr>
        <w:t>: neither ER nor PR was positive, with at least one being borderline or unknown.</w:t>
      </w:r>
    </w:p>
    <w:p w14:paraId="4E1AFECD"/>
    <w:sectPr>
      <w:type w:val="continuous"/>
      <w:pgSz w:w="11900" w:h="16840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ucida Grande">
    <w:altName w:val="Courier New"/>
    <w:panose1 w:val="020B0600040502020204"/>
    <w:charset w:val="00"/>
    <w:family w:val="auto"/>
    <w:pitch w:val="default"/>
    <w:sig w:usb0="00000000" w:usb1="00000000" w:usb2="00000000" w:usb3="00000000" w:csb0="000001B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925FD"/>
    <w:multiLevelType w:val="multilevel"/>
    <w:tmpl w:val="07E925FD"/>
    <w:lvl w:ilvl="0" w:tentative="0">
      <w:start w:val="1"/>
      <w:numFmt w:val="decimal"/>
      <w:pStyle w:val="2"/>
      <w:lvlText w:val="%1."/>
      <w:lvlJc w:val="left"/>
      <w:pPr>
        <w:ind w:left="360" w:hanging="360"/>
      </w:pPr>
    </w:lvl>
    <w:lvl w:ilvl="1" w:tentative="0">
      <w:start w:val="1"/>
      <w:numFmt w:val="decimal"/>
      <w:pStyle w:val="3"/>
      <w:lvlText w:val="%1.%2."/>
      <w:lvlJc w:val="left"/>
      <w:pPr>
        <w:ind w:left="792" w:hanging="432"/>
      </w:pPr>
    </w:lvl>
    <w:lvl w:ilvl="2" w:tentative="0">
      <w:start w:val="1"/>
      <w:numFmt w:val="decimal"/>
      <w:pStyle w:val="4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08"/>
  <w:hyphenationZone w:val="425"/>
  <w:compat>
    <w:useFELayout/>
    <w:compatSetting w:name="compatibilityMode" w:uri="http://schemas.microsoft.com/office/word" w:val="15"/>
  </w:compat>
  <w:rsids>
    <w:rsidRoot w:val="00000000"/>
    <w:rsid w:val="03E965DB"/>
    <w:rsid w:val="161041E9"/>
    <w:rsid w:val="1DA40FAB"/>
    <w:rsid w:val="31F7414B"/>
    <w:rsid w:val="3E7F4E90"/>
    <w:rsid w:val="448C0E78"/>
    <w:rsid w:val="5FBE5999"/>
    <w:rsid w:val="60741AA3"/>
    <w:rsid w:val="6E157FAC"/>
    <w:rsid w:val="7D0B0C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numPr>
        <w:ilvl w:val="0"/>
        <w:numId w:val="1"/>
      </w:numPr>
      <w:pBdr>
        <w:bottom w:val="single" w:color="auto" w:sz="4" w:space="1"/>
      </w:pBdr>
      <w:spacing w:before="480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hAnsiTheme="majorHAnsi" w:eastAsiaTheme="majorEastAsia" w:cstheme="majorBidi"/>
      <w:b/>
      <w:bCs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0"/>
    <w:semiHidden/>
    <w:unhideWhenUsed/>
    <w:qFormat/>
    <w:uiPriority w:val="99"/>
    <w:rPr>
      <w:rFonts w:ascii="Lucida Grande" w:hAnsi="Lucida Grande"/>
      <w:sz w:val="18"/>
      <w:szCs w:val="18"/>
    </w:rPr>
  </w:style>
  <w:style w:type="paragraph" w:styleId="6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7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table" w:styleId="9">
    <w:name w:val="Table Professional"/>
    <w:basedOn w:val="8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10">
    <w:name w:val="Light List Accent 2"/>
    <w:basedOn w:val="8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customStyle="1" w:styleId="12">
    <w:name w:val="strong"/>
    <w:basedOn w:val="11"/>
    <w:qFormat/>
    <w:uiPriority w:val="1"/>
    <w:rPr>
      <w:b/>
    </w:rPr>
  </w:style>
  <w:style w:type="paragraph" w:customStyle="1" w:styleId="13">
    <w:name w:val="centered"/>
    <w:basedOn w:val="1"/>
    <w:qFormat/>
    <w:uiPriority w:val="0"/>
    <w:pPr>
      <w:jc w:val="center"/>
    </w:pPr>
  </w:style>
  <w:style w:type="table" w:customStyle="1" w:styleId="14">
    <w:name w:val="table_template"/>
    <w:basedOn w:val="8"/>
    <w:qFormat/>
    <w:uiPriority w:val="59"/>
    <w:pPr>
      <w:jc w:val="right"/>
    </w:pPr>
    <w:tblPr>
      <w:jc w:val="center"/>
      <w:tblBorders>
        <w:top w:val="single" w:color="auto" w:sz="8" w:space="0"/>
        <w:bottom w:val="single" w:color="auto" w:sz="8" w:space="0"/>
        <w:insideH w:val="single" w:color="auto" w:sz="8" w:space="0"/>
      </w:tblBorders>
    </w:tblPr>
    <w:trPr>
      <w:jc w:val="center"/>
    </w:trPr>
    <w:tblStylePr w:type="firstRow">
      <w:rPr>
        <w:b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">
    <w:name w:val="Titre 1 Car"/>
    <w:basedOn w:val="11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Titre 2 Car"/>
    <w:basedOn w:val="11"/>
    <w:link w:val="3"/>
    <w:semiHidden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17">
    <w:name w:val="Titre 3 Car"/>
    <w:basedOn w:val="11"/>
    <w:link w:val="4"/>
    <w:semiHidden/>
    <w:qFormat/>
    <w:uiPriority w:val="9"/>
    <w:rPr>
      <w:rFonts w:asciiTheme="majorHAnsi" w:hAnsiTheme="majorHAnsi" w:eastAsiaTheme="majorEastAsia" w:cstheme="majorBidi"/>
      <w:b/>
      <w:bCs/>
    </w:rPr>
  </w:style>
  <w:style w:type="paragraph" w:customStyle="1" w:styleId="18">
    <w:name w:val="Image Caption"/>
    <w:basedOn w:val="1"/>
    <w:qFormat/>
    <w:uiPriority w:val="0"/>
    <w:pPr>
      <w:jc w:val="center"/>
    </w:pPr>
    <w:rPr>
      <w:b/>
      <w:i/>
    </w:rPr>
  </w:style>
  <w:style w:type="paragraph" w:customStyle="1" w:styleId="19">
    <w:name w:val="Table Caption"/>
    <w:basedOn w:val="18"/>
    <w:qFormat/>
    <w:uiPriority w:val="0"/>
  </w:style>
  <w:style w:type="character" w:customStyle="1" w:styleId="20">
    <w:name w:val="Texte de bulles Car"/>
    <w:basedOn w:val="11"/>
    <w:link w:val="5"/>
    <w:semiHidden/>
    <w:qFormat/>
    <w:uiPriority w:val="99"/>
    <w:rPr>
      <w:rFonts w:ascii="Lucida Grande" w:hAnsi="Lucida Grande"/>
      <w:sz w:val="18"/>
      <w:szCs w:val="18"/>
    </w:rPr>
  </w:style>
  <w:style w:type="character" w:customStyle="1" w:styleId="21">
    <w:name w:val="reference_id"/>
    <w:basedOn w:val="11"/>
    <w:qFormat/>
    <w:uiPriority w:val="1"/>
    <w:rPr>
      <w:vertAlign w:val="superscript"/>
    </w:rPr>
  </w:style>
  <w:style w:type="paragraph" w:customStyle="1" w:styleId="22">
    <w:name w:val="graphic title"/>
    <w:basedOn w:val="18"/>
    <w:next w:val="1"/>
    <w:qFormat/>
    <w:uiPriority w:val="0"/>
  </w:style>
  <w:style w:type="paragraph" w:customStyle="1" w:styleId="23">
    <w:name w:val="table title"/>
    <w:basedOn w:val="19"/>
    <w:next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411</Words>
  <Characters>2458</Characters>
  <Lines>0</Lines>
  <Paragraphs>0</Paragraphs>
  <TotalTime>0</TotalTime>
  <ScaleCrop>false</ScaleCrop>
  <LinksUpToDate>false</LinksUpToDate>
  <CharactersWithSpaces>2691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2017-02-28T11:18:00Z</dcterms:created>
  <dc:creator>WPS_1615004398</dc:creator>
  <cp:lastModifiedBy>WPS_1615004398</cp:lastModifiedBy>
  <dcterms:modified xsi:type="dcterms:W3CDTF">2026-08-26T08:02:26Z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eyJoZGlkIjoiMDY2NWRhZGRiYTA0OGVlOTRjOTZiM2FiMmYzMzE2MWYiLCJ1c2VySWQiOiIxMTc3NjYzMDMzIn0=</vt:lpwstr>
  </property>
  <property fmtid="{D5CDD505-2E9C-101B-9397-08002B2CF9AE}" pid="3" name="KSOProductBuildVer">
    <vt:lpwstr>2052-12.1.0.28043</vt:lpwstr>
  </property>
  <property fmtid="{D5CDD505-2E9C-101B-9397-08002B2CF9AE}" pid="4" name="ICV">
    <vt:lpwstr>CF045289A986432CB9C4BB10ED5AB3F7_12</vt:lpwstr>
  </property>
</Properties>
</file>