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统一数值结算中间层与货币实体化接口说明_0414"/>
    <w:p>
      <w:pPr>
        <w:pStyle w:val="Heading1"/>
      </w:pPr>
      <w:r>
        <w:rPr>
          <w:rFonts w:hint="eastAsia"/>
        </w:rPr>
        <w:t xml:space="preserve">50_统一数值结算中间层与货币实体化接口说明_0414</w:t>
      </w:r>
    </w:p>
    <w:bookmarkStart w:id="9" w:name="目标与结论"/>
    <w:p>
      <w:pPr>
        <w:pStyle w:val="Heading2"/>
      </w:pPr>
      <w:r>
        <w:t xml:space="preserve">1. </w:t>
      </w:r>
      <w:r>
        <w:rPr>
          <w:rFonts w:hint="eastAsia"/>
        </w:rPr>
        <w:t xml:space="preserve">目标与结论</w:t>
      </w:r>
    </w:p>
    <w:p>
      <w:pPr>
        <w:pStyle w:val="FirstParagraph"/>
      </w:pPr>
      <w:r>
        <w:rPr>
          <w:rFonts w:hint="eastAsia"/>
        </w:rPr>
        <w:t xml:space="preserve">本次已将关键数值流程统一收口到“中间层结算接口”，不再由业务系统直接即时改写库存/货币/经验。</w:t>
      </w:r>
    </w:p>
    <w:p>
      <w:pPr>
        <w:pStyle w:val="BodyText"/>
      </w:pPr>
      <w:r>
        <w:rPr>
          <w:rFonts w:hint="eastAsia"/>
        </w:rPr>
        <w:t xml:space="preserve">当前统一入口为：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Scripts/Core/Helpers/ValueSettlementService.cs</w:t>
      </w:r>
    </w:p>
    <w:p>
      <w:pPr>
        <w:pStyle w:val="FirstParagraph"/>
      </w:pPr>
      <w:r>
        <w:rPr>
          <w:rFonts w:hint="eastAsia"/>
        </w:rPr>
        <w:t xml:space="preserve">倍率接口与限时</w:t>
      </w:r>
      <w:r>
        <w:t xml:space="preserve"> Buff </w:t>
      </w:r>
      <w:r>
        <w:rPr>
          <w:rFonts w:hint="eastAsia"/>
        </w:rPr>
        <w:t xml:space="preserve">入口为：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Scripts/Systems/BuffSystem.cs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Scripts/Core/Helpers/SettlementStatIds.cs</w:t>
      </w:r>
    </w:p>
    <w:bookmarkEnd w:id="9"/>
    <w:bookmarkStart w:id="10" w:name="已接入中间层的业务流程"/>
    <w:p>
      <w:pPr>
        <w:pStyle w:val="Heading2"/>
      </w:pPr>
      <w:r>
        <w:t xml:space="preserve">2. </w:t>
      </w:r>
      <w:r>
        <w:rPr>
          <w:rFonts w:hint="eastAsia"/>
        </w:rPr>
        <w:t xml:space="preserve">已接入中间层的业务流程</w:t>
      </w:r>
    </w:p>
    <w:p>
      <w:pPr>
        <w:pStyle w:val="FirstParagraph"/>
      </w:pPr>
      <w:r>
        <w:rPr>
          <w:rFonts w:hint="eastAsia"/>
        </w:rPr>
        <w:t xml:space="preserve">以下流程已统一通过</w:t>
      </w:r>
      <w:r>
        <w:t xml:space="preserve"> </w:t>
      </w:r>
      <w:r>
        <w:rPr>
          <w:rStyle w:val="VerbatimChar"/>
        </w:rPr>
        <w:t xml:space="preserve">ValueSettlementService</w:t>
      </w:r>
      <w:r>
        <w:t xml:space="preserve"> </w:t>
      </w:r>
      <w:r>
        <w:rPr>
          <w:rFonts w:hint="eastAsia"/>
        </w:rPr>
        <w:t xml:space="preserve">结算：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挂机产出总量结算（道具入包）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挂机进度时长缩减（速度倍率）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挂机经验结算（经验倍率）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商店买入支付（金币成本+折扣倍率）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商店卖出收益（卖价倍率）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点击事件成本与奖励（道具/金币/经验）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任务领奖效果（道具/金币/经验）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一键卖垃圾（道具扣除+金币发放）</w:t>
      </w:r>
    </w:p>
    <w:bookmarkEnd w:id="10"/>
    <w:bookmarkStart w:id="11" w:name="非即时结算说明"/>
    <w:p>
      <w:pPr>
        <w:pStyle w:val="Heading2"/>
      </w:pPr>
      <w:r>
        <w:t xml:space="preserve">3. </w:t>
      </w:r>
      <w:r>
        <w:rPr>
          <w:rFonts w:hint="eastAsia"/>
        </w:rPr>
        <w:t xml:space="preserve">非即时结算说明</w:t>
      </w:r>
    </w:p>
    <w:p>
      <w:pPr>
        <w:pStyle w:val="FirstParagraph"/>
      </w:pPr>
      <w:r>
        <w:rPr>
          <w:rFonts w:hint="eastAsia"/>
        </w:rPr>
        <w:t xml:space="preserve">现在业务系统（</w:t>
      </w:r>
      <w:r>
        <w:rPr>
          <w:rStyle w:val="VerbatimChar"/>
        </w:rPr>
        <w:t xml:space="preserve">IdleSystem/ShopSystem/SellSystem/ClickEventSystem/QuestSystem</w:t>
      </w:r>
      <w:r>
        <w:rPr>
          <w:rFonts w:hint="eastAsia"/>
        </w:rPr>
        <w:t xml:space="preserve">）只负责“提出结算请求”，</w:t>
      </w:r>
      <w:r>
        <w:t xml:space="preserve"> </w:t>
      </w:r>
      <w:r>
        <w:rPr>
          <w:rFonts w:hint="eastAsia"/>
        </w:rPr>
        <w:t xml:space="preserve">实际数值变更统一由中间层执行：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道具增减：</w:t>
      </w:r>
      <w:r>
        <w:rPr>
          <w:rStyle w:val="VerbatimChar"/>
        </w:rPr>
        <w:t xml:space="preserve">AddItem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TryRemoveItem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TryPayItemCosts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货币增减：</w:t>
      </w:r>
      <w:r>
        <w:rPr>
          <w:rStyle w:val="VerbatimChar"/>
        </w:rPr>
        <w:t xml:space="preserve">AddCurrency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TrySpendCurrency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经验发放：</w:t>
      </w:r>
      <w:r>
        <w:rPr>
          <w:rStyle w:val="VerbatimChar"/>
        </w:rPr>
        <w:t xml:space="preserve">GrantSkillExp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价格与效率计算：</w:t>
      </w:r>
      <w:r>
        <w:rPr>
          <w:rStyle w:val="VerbatimChar"/>
        </w:rPr>
        <w:t xml:space="preserve">Resolve*</w:t>
      </w:r>
      <w:r>
        <w:t xml:space="preserve"> </w:t>
      </w:r>
      <w:r>
        <w:rPr>
          <w:rFonts w:hint="eastAsia"/>
        </w:rPr>
        <w:t xml:space="preserve">系列方法</w:t>
      </w:r>
    </w:p>
    <w:p>
      <w:pPr>
        <w:pStyle w:val="FirstParagraph"/>
      </w:pPr>
      <w:r>
        <w:rPr>
          <w:rFonts w:hint="eastAsia"/>
        </w:rPr>
        <w:t xml:space="preserve">这意味着后续加入复杂系统（Buff、区域规则、剧情系数、活动倍率）时，只需要在中间层/倍率层扩展，无需到每个业务系统重复改逻辑。</w:t>
      </w:r>
    </w:p>
    <w:bookmarkEnd w:id="11"/>
    <w:bookmarkStart w:id="12" w:name="倍率与-buff-接口可扩展"/>
    <w:p>
      <w:pPr>
        <w:pStyle w:val="Heading2"/>
      </w:pPr>
      <w:r>
        <w:t xml:space="preserve">4. </w:t>
      </w:r>
      <w:r>
        <w:rPr>
          <w:rFonts w:hint="eastAsia"/>
        </w:rPr>
        <w:t xml:space="preserve">倍率与</w:t>
      </w:r>
      <w:r>
        <w:t xml:space="preserve"> Buff </w:t>
      </w:r>
      <w:r>
        <w:rPr>
          <w:rFonts w:hint="eastAsia"/>
        </w:rPr>
        <w:t xml:space="preserve">接口（可扩展）</w:t>
      </w:r>
    </w:p>
    <w:p>
      <w:pPr>
        <w:pStyle w:val="FirstParagraph"/>
      </w:pPr>
      <w:r>
        <w:rPr>
          <w:rStyle w:val="VerbatimChar"/>
        </w:rPr>
        <w:t xml:space="preserve">BuffSystem</w:t>
      </w:r>
      <w:r>
        <w:t xml:space="preserve"> </w:t>
      </w: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常驻倍率：</w:t>
      </w:r>
      <w:r>
        <w:rPr>
          <w:rStyle w:val="VerbatimChar"/>
        </w:rPr>
        <w:t xml:space="preserve">SetPersistentMultiplier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限时倍率：</w:t>
      </w:r>
      <w:r>
        <w:rPr>
          <w:rStyle w:val="VerbatimChar"/>
        </w:rPr>
        <w:t xml:space="preserve">SetTimedMultiplier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清理来源：</w:t>
      </w:r>
      <w:r>
        <w:rPr>
          <w:rStyle w:val="VerbatimChar"/>
        </w:rPr>
        <w:t xml:space="preserve">RemoveBuff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RemoveMultiplier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读取倍率：</w:t>
      </w:r>
      <w:r>
        <w:rPr>
          <w:rStyle w:val="VerbatimChar"/>
        </w:rPr>
        <w:t xml:space="preserve">GetMultiplier</w:t>
      </w:r>
    </w:p>
    <w:p>
      <w:pPr>
        <w:pStyle w:val="FirstParagraph"/>
      </w:pPr>
      <w:r>
        <w:rPr>
          <w:rFonts w:hint="eastAsia"/>
        </w:rPr>
        <w:t xml:space="preserve">当前已接入的倍率键（见</w:t>
      </w:r>
      <w:r>
        <w:t xml:space="preserve"> </w:t>
      </w:r>
      <w:r>
        <w:rPr>
          <w:rStyle w:val="VerbatimChar"/>
        </w:rPr>
        <w:t xml:space="preserve">SettlementStatIds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idle.output.multiplier</w:t>
      </w:r>
      <w:r>
        <w:rPr>
          <w:rFonts w:hint="eastAsia"/>
        </w:rPr>
        <w:t xml:space="preserve">（挂机收获加成）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idle.speed.multiplier</w:t>
      </w:r>
      <w:r>
        <w:rPr>
          <w:rFonts w:hint="eastAsia"/>
        </w:rPr>
        <w:t xml:space="preserve">（挂机进度提速）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trade.buy_price.multiplier</w:t>
      </w:r>
      <w:r>
        <w:rPr>
          <w:rFonts w:hint="eastAsia"/>
        </w:rPr>
        <w:t xml:space="preserve">（买入折扣/加价）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trade.sell_price.multiplier</w:t>
      </w:r>
      <w:r>
        <w:rPr>
          <w:rFonts w:hint="eastAsia"/>
        </w:rPr>
        <w:t xml:space="preserve">（卖出收益系数）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skill.exp_gain.multiplier</w:t>
      </w:r>
      <w:r>
        <w:rPr>
          <w:rFonts w:hint="eastAsia"/>
        </w:rPr>
        <w:t xml:space="preserve">（经验加成）</w:t>
      </w:r>
    </w:p>
    <w:p>
      <w:pPr>
        <w:pStyle w:val="FirstParagraph"/>
      </w:pPr>
      <w:r>
        <w:rPr>
          <w:rFonts w:hint="eastAsia"/>
        </w:rPr>
        <w:t xml:space="preserve">并预留了按技能/NPC/物品维度的细分键：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idle.output.{skillId}.multiplier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idle.speed.{skillId}.multiplier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skill.exp_gain.{skillId}.multiplier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trade.buy_price.{npcId}.multiplier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trade.sell_price.{itemId}.multiplier</w:t>
      </w:r>
    </w:p>
    <w:bookmarkEnd w:id="12"/>
    <w:bookmarkStart w:id="13" w:name="货币实体化与中间层联动"/>
    <w:p>
      <w:pPr>
        <w:pStyle w:val="Heading2"/>
      </w:pPr>
      <w:r>
        <w:t xml:space="preserve">5. </w:t>
      </w:r>
      <w:r>
        <w:rPr>
          <w:rFonts w:hint="eastAsia"/>
        </w:rPr>
        <w:t xml:space="preserve">货币实体化（与中间层联动）</w:t>
      </w:r>
    </w:p>
    <w:p>
      <w:pPr>
        <w:pStyle w:val="FirstParagraph"/>
      </w:pPr>
      <w:r>
        <w:rPr>
          <w:rFonts w:hint="eastAsia"/>
        </w:rPr>
        <w:t xml:space="preserve">货币系统现在是“双表示”：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经济账本（原有）：</w:t>
      </w:r>
      <w:r>
        <w:rPr>
          <w:rStyle w:val="VerbatimChar"/>
        </w:rPr>
        <w:t xml:space="preserve">PlayerEconomyState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背包实体（新增同步）：</w:t>
      </w:r>
      <w:r>
        <w:rPr>
          <w:rStyle w:val="VerbatimChar"/>
        </w:rPr>
        <w:t xml:space="preserve">currency_*</w:t>
      </w:r>
      <w:r>
        <w:t xml:space="preserve"> </w:t>
      </w:r>
      <w:r>
        <w:rPr>
          <w:rFonts w:hint="eastAsia"/>
        </w:rPr>
        <w:t xml:space="preserve">物品堆叠</w:t>
      </w:r>
    </w:p>
    <w:p>
      <w:pPr>
        <w:pStyle w:val="FirstParagraph"/>
      </w:pPr>
      <w:r>
        <w:rPr>
          <w:rFonts w:hint="eastAsia"/>
        </w:rPr>
        <w:t xml:space="preserve">同步策略：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所有货币增减都通过</w:t>
      </w:r>
      <w:r>
        <w:t xml:space="preserve"> </w:t>
      </w:r>
      <w:r>
        <w:rPr>
          <w:rStyle w:val="VerbatimChar"/>
        </w:rPr>
        <w:t xml:space="preserve">ValueSettlementService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中间层在增减账本时同步增减背包货币实体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读档后会执行一次账本</w:t>
      </w:r>
      <w:r>
        <w:t xml:space="preserve"> -&gt; </w:t>
      </w:r>
      <w:r>
        <w:rPr>
          <w:rFonts w:hint="eastAsia"/>
        </w:rPr>
        <w:t xml:space="preserve">背包同步，确保旧档兼容</w:t>
      </w:r>
    </w:p>
    <w:p>
      <w:pPr>
        <w:pStyle w:val="FirstParagraph"/>
      </w:pPr>
      <w:r>
        <w:rPr>
          <w:rFonts w:hint="eastAsia"/>
        </w:rPr>
        <w:t xml:space="preserve">默认金币实体</w:t>
      </w:r>
      <w:r>
        <w:t xml:space="preserve"> </w:t>
      </w:r>
      <w:r>
        <w:rPr>
          <w:rFonts w:hint="eastAsia"/>
        </w:rPr>
        <w:t xml:space="preserve">ID：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currency_gold</w:t>
      </w:r>
    </w:p>
    <w:bookmarkEnd w:id="13"/>
    <w:bookmarkStart w:id="14" w:name="技能升级特殊事件接口保持可用"/>
    <w:p>
      <w:pPr>
        <w:pStyle w:val="Heading2"/>
      </w:pPr>
      <w:r>
        <w:t xml:space="preserve">6. </w:t>
      </w:r>
      <w:r>
        <w:rPr>
          <w:rFonts w:hint="eastAsia"/>
        </w:rPr>
        <w:t xml:space="preserve">技能升级特殊事件接口（保持可用）</w:t>
      </w:r>
    </w:p>
    <w:p>
      <w:pPr>
        <w:pStyle w:val="FirstParagraph"/>
      </w:pPr>
      <w:r>
        <w:rPr>
          <w:rFonts w:hint="eastAsia"/>
        </w:rPr>
        <w:t xml:space="preserve">技能升级触发特殊事件接口保持可用且未破坏：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Skills/Definitions/*</w:t>
      </w:r>
      <w:r>
        <w:t xml:space="preserve"> </w:t>
      </w:r>
      <w:r>
        <w:rPr>
          <w:rFonts w:hint="eastAsia"/>
        </w:rPr>
        <w:t xml:space="preserve">中每级可配置</w:t>
      </w:r>
      <w:r>
        <w:t xml:space="preserve"> </w:t>
      </w:r>
      <w:r>
        <w:rPr>
          <w:rStyle w:val="VerbatimChar"/>
        </w:rPr>
        <w:t xml:space="preserve">on_level_up_event_ids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运行时由</w:t>
      </w:r>
      <w:r>
        <w:t xml:space="preserve"> </w:t>
      </w:r>
      <w:r>
        <w:rPr>
          <w:rStyle w:val="VerbatimChar"/>
        </w:rPr>
        <w:t xml:space="preserve">SkillSystem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ClickEventSystem.TryTriggerEventFromSystem(...)</w:t>
      </w:r>
    </w:p>
    <w:p>
      <w:pPr>
        <w:pStyle w:val="FirstParagraph"/>
      </w:pPr>
      <w:r>
        <w:rPr>
          <w:rFonts w:hint="eastAsia"/>
        </w:rPr>
        <w:t xml:space="preserve">因此例如“5级触发</w:t>
      </w:r>
      <w:r>
        <w:t xml:space="preserve"> buff </w:t>
      </w:r>
      <w:r>
        <w:rPr>
          <w:rFonts w:hint="eastAsia"/>
        </w:rPr>
        <w:t xml:space="preserve">解锁”“10级触发一次性支线事件”可继续按</w:t>
      </w:r>
      <w:r>
        <w:t xml:space="preserve"> YAML </w:t>
      </w:r>
      <w:r>
        <w:rPr>
          <w:rFonts w:hint="eastAsia"/>
        </w:rPr>
        <w:t xml:space="preserve">配置，不需要改业务代码。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2026-04-14T12:03:47Z</dcterms:created>
  <dcterms:modified xsi:type="dcterms:W3CDTF">2026-04-14T12:03:47Z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