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651A6" w14:textId="4A951EA7" w:rsidR="006012FA" w:rsidRDefault="006012FA">
      <w:pPr>
        <w:rPr>
          <w:lang w:val="en-US"/>
        </w:rPr>
      </w:pPr>
      <w:r>
        <w:rPr>
          <w:lang w:val="en-US"/>
        </w:rPr>
        <w:t>The Holstein model Hamiltonian</w:t>
      </w:r>
    </w:p>
    <w:p w14:paraId="55C5D8DD" w14:textId="77C02660" w:rsidR="006012FA" w:rsidRDefault="006012FA">
      <w:pPr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H=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ϵ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†</m:t>
            </m:r>
          </m:sup>
        </m:sSup>
        <m:r>
          <w:rPr>
            <w:rFonts w:ascii="Cambria Math" w:hAnsi="Cambria Math"/>
            <w:lang w:val="en-US"/>
          </w:rPr>
          <m:t>a+ω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†</m:t>
            </m:r>
          </m:sup>
        </m:sSup>
        <m:r>
          <w:rPr>
            <w:rFonts w:ascii="Cambria Math" w:hAnsi="Cambria Math"/>
            <w:lang w:val="en-US"/>
          </w:rPr>
          <m:t>b+g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†</m:t>
            </m:r>
          </m:sup>
        </m:sSup>
        <m:r>
          <w:rPr>
            <w:rFonts w:ascii="Cambria Math" w:hAnsi="Cambria Math"/>
            <w:lang w:val="en-US"/>
          </w:rPr>
          <m:t>a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†</m:t>
                </m:r>
              </m:sup>
            </m:sSup>
            <m:r>
              <w:rPr>
                <w:rFonts w:ascii="Cambria Math" w:hAnsi="Cambria Math"/>
                <w:lang w:val="en-US"/>
              </w:rPr>
              <m:t>+b</m:t>
            </m:r>
          </m:e>
        </m:d>
        <m:r>
          <w:rPr>
            <w:rFonts w:ascii="Cambria Math" w:hAnsi="Cambria Math"/>
            <w:lang w:val="en-US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ϵ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†</m:t>
                </m:r>
              </m:sup>
            </m:sSup>
            <m:r>
              <w:rPr>
                <w:rFonts w:ascii="Cambria Math" w:hAnsi="Cambria Math"/>
                <w:lang w:val="en-US"/>
              </w:rPr>
              <m:t>c+</m:t>
            </m:r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†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c+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†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a)</m:t>
                </m:r>
              </m:e>
            </m:nary>
          </m:e>
        </m:nary>
      </m:oMath>
    </w:p>
    <w:p w14:paraId="218D26AA" w14:textId="3F110FEA" w:rsidR="0031650A" w:rsidRDefault="0031650A">
      <w:pPr>
        <w:rPr>
          <w:lang w:val="en-US"/>
        </w:rPr>
      </w:pPr>
    </w:p>
    <w:p w14:paraId="0C9C5AC7" w14:textId="47558E5F" w:rsidR="0031650A" w:rsidRDefault="0031650A">
      <w:pPr>
        <w:rPr>
          <w:lang w:val="en-US"/>
        </w:rPr>
      </w:pPr>
      <w:r>
        <w:rPr>
          <w:lang w:val="en-US"/>
        </w:rPr>
        <w:t>The parameters:</w:t>
      </w:r>
    </w:p>
    <w:p w14:paraId="3843BF4F" w14:textId="09B7D048" w:rsidR="0031650A" w:rsidRDefault="0031650A">
      <w:pPr>
        <w:rPr>
          <w:lang w:val="en-US"/>
        </w:rPr>
      </w:pPr>
      <w:r>
        <w:rPr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ϵ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  <w:lang w:val="en-US"/>
          </w:rPr>
          <m:t>=0</m:t>
        </m:r>
        <m:r>
          <w:rPr>
            <w:rFonts w:ascii="Cambria Math" w:hAnsi="Cambria Math"/>
            <w:lang w:val="en-US"/>
          </w:rPr>
          <m:t>, ω=1, g=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0.5</m:t>
            </m:r>
          </m:e>
        </m:rad>
        <m:r>
          <w:rPr>
            <w:rFonts w:ascii="Cambria Math" w:hAnsi="Cambria Math"/>
            <w:lang w:val="en-US"/>
          </w:rPr>
          <m:t xml:space="preserve">, </m:t>
        </m:r>
      </m:oMath>
    </w:p>
    <w:p w14:paraId="6BBE114D" w14:textId="1CFFBAF1" w:rsidR="00546E53" w:rsidRDefault="00546E53">
      <w:pPr>
        <w:rPr>
          <w:lang w:val="en-US"/>
        </w:rPr>
      </w:pPr>
      <w:r>
        <w:rPr>
          <w:lang w:val="en-US"/>
        </w:rPr>
        <w:t xml:space="preserve">The spectrum density </w:t>
      </w:r>
    </w:p>
    <w:p w14:paraId="19B36C9F" w14:textId="2A720D0C" w:rsidR="00546E53" w:rsidRDefault="00546E53">
      <w:pPr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J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ϵ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π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ϵ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val="en-US"/>
          </w:rPr>
          <m:t xml:space="preserve"> </m:t>
        </m:r>
      </m:oMath>
    </w:p>
    <w:p w14:paraId="746B5A8D" w14:textId="557DC137" w:rsidR="003B3E56" w:rsidRDefault="003B3E56">
      <w:pPr>
        <w:rPr>
          <w:lang w:val="en-US"/>
        </w:rPr>
      </w:pPr>
    </w:p>
    <w:p w14:paraId="1F32D99E" w14:textId="31129535" w:rsidR="003B3E56" w:rsidRDefault="003B3E56">
      <w:pPr>
        <w:rPr>
          <w:lang w:val="en-US"/>
        </w:rPr>
      </w:pPr>
      <w:r>
        <w:rPr>
          <w:lang w:val="en-US"/>
        </w:rPr>
        <w:t>Observables:</w:t>
      </w:r>
    </w:p>
    <w:p w14:paraId="30F2D551" w14:textId="3ACB66FA" w:rsidR="003B3E56" w:rsidRDefault="003B3E56" w:rsidP="003B3E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Matsubara Green’s function </w:t>
      </w:r>
      <m:oMath>
        <m:r>
          <w:rPr>
            <w:rFonts w:ascii="Cambria Math" w:hAnsi="Cambria Math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τ</m:t>
            </m:r>
          </m:e>
        </m:d>
        <m:r>
          <w:rPr>
            <w:rFonts w:ascii="Cambria Math" w:hAnsi="Cambria Math"/>
            <w:lang w:val="en-US"/>
          </w:rPr>
          <m:t>=⟨a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τ</m:t>
            </m:r>
          </m:e>
        </m:d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†</m:t>
            </m:r>
          </m:sup>
        </m:sSup>
        <m:r>
          <w:rPr>
            <w:rFonts w:ascii="Cambria Math" w:hAnsi="Cambria Math"/>
            <w:lang w:val="en-US"/>
          </w:rPr>
          <m:t>⟩</m:t>
        </m:r>
      </m:oMath>
    </w:p>
    <w:p w14:paraId="283A4D5A" w14:textId="35FCB977" w:rsidR="003B3E56" w:rsidRPr="003B3E56" w:rsidRDefault="003B3E56" w:rsidP="003B3E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density-density correlation </w:t>
      </w:r>
      <m:oMath>
        <m:r>
          <w:rPr>
            <w:rFonts w:ascii="Cambria Math" w:hAnsi="Cambria Math"/>
            <w:lang w:val="en-US"/>
          </w:rPr>
          <m:t>⟨n(τ)n⟩</m:t>
        </m:r>
      </m:oMath>
      <w:r>
        <w:rPr>
          <w:lang w:val="en-US"/>
        </w:rPr>
        <w:t xml:space="preserve">, where </w:t>
      </w:r>
      <m:oMath>
        <m:r>
          <w:rPr>
            <w:rFonts w:ascii="Cambria Math" w:hAnsi="Cambria Math"/>
            <w:lang w:val="en-US"/>
          </w:rPr>
          <m:t>n=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†</m:t>
            </m:r>
          </m:sup>
        </m:sSup>
        <m:r>
          <w:rPr>
            <w:rFonts w:ascii="Cambria Math" w:hAnsi="Cambria Math"/>
            <w:lang w:val="en-US"/>
          </w:rPr>
          <m:t>a</m:t>
        </m:r>
      </m:oMath>
    </w:p>
    <w:sectPr w:rsidR="003B3E56" w:rsidRPr="003B3E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ED4727"/>
    <w:multiLevelType w:val="hybridMultilevel"/>
    <w:tmpl w:val="C10C8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FA"/>
    <w:rsid w:val="0031650A"/>
    <w:rsid w:val="003B3E56"/>
    <w:rsid w:val="00546E53"/>
    <w:rsid w:val="0060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EEA92"/>
  <w15:chartTrackingRefBased/>
  <w15:docId w15:val="{E88C358F-3DE1-E94C-A2C3-F832BF4B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12FA"/>
    <w:rPr>
      <w:color w:val="808080"/>
    </w:rPr>
  </w:style>
  <w:style w:type="paragraph" w:styleId="ListParagraph">
    <w:name w:val="List Paragraph"/>
    <w:basedOn w:val="Normal"/>
    <w:uiPriority w:val="34"/>
    <w:qFormat/>
    <w:rsid w:val="003B3E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guo</dc:creator>
  <cp:keywords/>
  <dc:description/>
  <cp:lastModifiedBy>chu guo</cp:lastModifiedBy>
  <cp:revision>4</cp:revision>
  <dcterms:created xsi:type="dcterms:W3CDTF">2025-05-29T06:58:00Z</dcterms:created>
  <dcterms:modified xsi:type="dcterms:W3CDTF">2025-05-29T07:07:00Z</dcterms:modified>
</cp:coreProperties>
</file>