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D8241F">
        <w:rPr>
          <w:rFonts w:ascii="Calibri" w:hAnsi="Calibri" w:cs="Calibri"/>
          <w:sz w:val="20"/>
          <w:szCs w:val="20"/>
          <w:shd w:val="clear" w:color="auto" w:fill="FFFFFF"/>
        </w:rPr>
      </w:r>
      <w:r w:rsidR="00D8241F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D8241F">
        <w:rPr>
          <w:rFonts w:ascii="Calibri" w:hAnsi="Calibri" w:cs="Calibri"/>
          <w:sz w:val="20"/>
          <w:szCs w:val="20"/>
        </w:rPr>
      </w:r>
      <w:r w:rsidR="00D8241F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D8241F">
        <w:rPr>
          <w:rFonts w:ascii="Calibri" w:hAnsi="Calibri" w:cs="Calibri"/>
          <w:sz w:val="20"/>
          <w:szCs w:val="20"/>
        </w:rPr>
      </w:r>
      <w:r w:rsidR="00D8241F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r w:rsidR="00936CBC">
        <w:rPr>
          <w:rFonts w:cs="Calibri"/>
        </w:rPr>
        <w:t>Extraction_date</w:t>
      </w:r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223747FE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4025CC" w:rsidRPr="004025CC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="00D8241F">
              <w:rPr>
                <w:rFonts w:ascii="Calibri" w:hAnsi="Calibri" w:cs="Calibri"/>
                <w:sz w:val="22"/>
                <w:szCs w:val="22"/>
                <w:lang w:val="en-CA"/>
              </w:rPr>
              <w:t>absolute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6D71C2" w:rsidRPr="006D71C2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6D71C2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absolute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1D2EE0" w:rsidRPr="001D2EE0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_absolute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_current_academic_year}}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>{{</w:t>
      </w:r>
      <w:r w:rsidRPr="00567822">
        <w:rPr>
          <w:rFonts w:cs="Calibri"/>
        </w:rPr>
        <w:t>Enrolment_current_academic_year</w:t>
      </w:r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{{Enrolment_total_FLE_projection}}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Pr="00D20AC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{{Enrolment_total_FLE}}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{{Enrolment_FLE_percent</w:t>
      </w:r>
      <w:r w:rsidR="00911626">
        <w:rPr>
          <w:rFonts w:cs="Calibri"/>
        </w:rPr>
        <w:t>_ch</w:t>
      </w:r>
      <w:r>
        <w:rPr>
          <w:rFonts w:cs="Calibri"/>
        </w:rPr>
        <w:t>a</w:t>
      </w:r>
      <w:r w:rsidR="00911626">
        <w:rPr>
          <w:rFonts w:cs="Calibri"/>
        </w:rPr>
        <w:t>n</w:t>
      </w:r>
      <w:r>
        <w:rPr>
          <w:rFonts w:cs="Calibri"/>
        </w:rPr>
        <w:t>ge_number</w:t>
      </w:r>
      <w:r w:rsidR="00911626">
        <w:rPr>
          <w:rFonts w:cs="Calibri"/>
        </w:rPr>
        <w:t>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_1_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{{Extraction_date}}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Enrolment_term_year_1_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="004971F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="004971F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>{{</w:t>
      </w:r>
      <w:r w:rsidR="002239DE" w:rsidRPr="002239DE">
        <w:rPr>
          <w:rFonts w:cs="Calibri"/>
        </w:rPr>
        <w:t>Enrolment_current_academic_year</w:t>
      </w:r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>{{</w:t>
      </w:r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{{Enrolment_current_academic_year}}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r w:rsidR="004B4144">
        <w:rPr>
          <w:rFonts w:cs="Calibri"/>
        </w:rPr>
        <w:t>1</w:t>
      </w:r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r w:rsidR="002E281F">
        <w:rPr>
          <w:rFonts w:cs="Calibri"/>
        </w:rPr>
        <w:t>Extraction_date</w:t>
      </w:r>
      <w:r w:rsidR="0031396A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r w:rsidR="002E281F">
        <w:rPr>
          <w:rFonts w:cs="Calibri"/>
        </w:rPr>
        <w:t>Extraction_date</w:t>
      </w:r>
      <w:r w:rsidR="009002E8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r w:rsidR="003363F8">
        <w:rPr>
          <w:rFonts w:cs="Calibri"/>
        </w:rPr>
        <w:t>2_Apprenticeship_bullet_point_programs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r w:rsidR="002E281F">
        <w:rPr>
          <w:rFonts w:cs="Calibri"/>
        </w:rPr>
        <w:t>Extraction_date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r w:rsidR="0090330D">
        <w:rPr>
          <w:rFonts w:cs="Calibri"/>
        </w:rPr>
        <w:t>Enrolment_International_UHC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r w:rsidR="0090330D">
        <w:rPr>
          <w:rFonts w:cs="Calibri"/>
        </w:rPr>
        <w:t>Enrolment_International_FLE</w:t>
      </w:r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Enrolment_International_rank_1_program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Enrolment_International_rank_2_program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r w:rsidR="00225071">
        <w:rPr>
          <w:rFonts w:cs="Calibri"/>
        </w:rPr>
        <w:t>}}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r w:rsidR="002E281F">
        <w:rPr>
          <w:rFonts w:cs="Calibri"/>
        </w:rPr>
        <w:t>Extraction_date</w:t>
      </w:r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r w:rsidR="005D4422">
        <w:rPr>
          <w:rFonts w:cs="Calibri"/>
        </w:rPr>
        <w:t>Enrolment_Indigenous_UHC</w:t>
      </w:r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r w:rsidR="00AF6101">
        <w:rPr>
          <w:rFonts w:cs="Calibri"/>
        </w:rPr>
        <w:t>Enrolment_Indigenous_FLE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Enrolment_Indigenous_rank_1_program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r w:rsidR="00E21319">
        <w:rPr>
          <w:rFonts w:cs="Calibri"/>
        </w:rPr>
        <w:t>}}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r w:rsidR="00ED0383" w:rsidRPr="00D01E28">
      <w:rPr>
        <w:rFonts w:ascii="Calibri" w:hAnsi="Calibri" w:cs="Calibri"/>
        <w:sz w:val="20"/>
        <w:szCs w:val="20"/>
      </w:rPr>
      <w:t>Date_prepared</w:t>
    </w:r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D8241F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4A97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6AB0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241F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325</cp:revision>
  <cp:lastPrinted>2020-11-18T21:39:00Z</cp:lastPrinted>
  <dcterms:created xsi:type="dcterms:W3CDTF">2025-05-08T17:01:00Z</dcterms:created>
  <dcterms:modified xsi:type="dcterms:W3CDTF">2025-06-17T21:11:00Z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