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C16DD">
      <w:pPr>
        <w:pStyle w:val="4"/>
        <w:spacing w:line="570" w:lineRule="exact"/>
        <w:ind w:firstLine="0"/>
        <w:jc w:val="center"/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eastAsia="zh-CN"/>
        </w:rPr>
        <w:t>项目运营服务考核办法</w:t>
      </w:r>
    </w:p>
    <w:tbl>
      <w:tblPr>
        <w:tblStyle w:val="12"/>
        <w:tblW w:w="94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1210"/>
        <w:gridCol w:w="867"/>
        <w:gridCol w:w="5307"/>
        <w:gridCol w:w="691"/>
        <w:gridCol w:w="684"/>
      </w:tblGrid>
      <w:tr w14:paraId="05B9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659" w:type="dxa"/>
            <w:vAlign w:val="center"/>
          </w:tcPr>
          <w:p w14:paraId="67230F9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1210" w:type="dxa"/>
            <w:vAlign w:val="center"/>
          </w:tcPr>
          <w:p w14:paraId="71718AD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指标</w:t>
            </w:r>
          </w:p>
          <w:p w14:paraId="55CD4E5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类型</w:t>
            </w:r>
          </w:p>
        </w:tc>
        <w:tc>
          <w:tcPr>
            <w:tcW w:w="6174" w:type="dxa"/>
            <w:gridSpan w:val="2"/>
            <w:vAlign w:val="center"/>
          </w:tcPr>
          <w:p w14:paraId="0F8BAC2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服务内容</w:t>
            </w:r>
          </w:p>
        </w:tc>
        <w:tc>
          <w:tcPr>
            <w:tcW w:w="691" w:type="dxa"/>
            <w:vAlign w:val="center"/>
          </w:tcPr>
          <w:p w14:paraId="6D17C91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分数</w:t>
            </w:r>
          </w:p>
        </w:tc>
        <w:tc>
          <w:tcPr>
            <w:tcW w:w="684" w:type="dxa"/>
            <w:vAlign w:val="center"/>
          </w:tcPr>
          <w:p w14:paraId="186B762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小计</w:t>
            </w:r>
          </w:p>
        </w:tc>
      </w:tr>
      <w:tr w14:paraId="4ED4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  <w:jc w:val="center"/>
        </w:trPr>
        <w:tc>
          <w:tcPr>
            <w:tcW w:w="659" w:type="dxa"/>
            <w:vAlign w:val="center"/>
          </w:tcPr>
          <w:p w14:paraId="21C191F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1</w:t>
            </w:r>
          </w:p>
        </w:tc>
        <w:tc>
          <w:tcPr>
            <w:tcW w:w="1210" w:type="dxa"/>
            <w:vMerge w:val="restart"/>
            <w:vAlign w:val="center"/>
          </w:tcPr>
          <w:p w14:paraId="4F8B285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产业招商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培育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服务</w:t>
            </w:r>
          </w:p>
        </w:tc>
        <w:tc>
          <w:tcPr>
            <w:tcW w:w="867" w:type="dxa"/>
            <w:vAlign w:val="center"/>
          </w:tcPr>
          <w:p w14:paraId="4A18804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产业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空间去化</w:t>
            </w:r>
          </w:p>
        </w:tc>
        <w:tc>
          <w:tcPr>
            <w:tcW w:w="5307" w:type="dxa"/>
            <w:vAlign w:val="center"/>
          </w:tcPr>
          <w:p w14:paraId="0A2266C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第一年出租率达到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75%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，第二年出租率达到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85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%，第三年出租率达到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90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%，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根据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完成率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按比例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得分。年度考核节点时，招商过渡期空间不计入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空置面积，招商过渡期为自企业退租起6个月内。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</w:rPr>
              <w:t>由</w:t>
            </w:r>
            <w:r>
              <w:rPr>
                <w:rFonts w:hint="eastAsia" w:cs="宋体"/>
                <w:color w:val="auto"/>
                <w:sz w:val="24"/>
                <w:highlight w:val="none"/>
                <w:lang w:val="en-US" w:eastAsia="zh-CN"/>
              </w:rPr>
              <w:t>丙方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</w:rPr>
              <w:t>主导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eastAsia="zh-CN"/>
              </w:rPr>
              <w:t>引进并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</w:rPr>
              <w:t>落地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eastAsia="zh-CN"/>
              </w:rPr>
              <w:t>于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</w:rPr>
              <w:t>良渚新城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eastAsia="zh-CN"/>
              </w:rPr>
              <w:t>辖区</w:t>
            </w:r>
            <w:r>
              <w:rPr>
                <w:rFonts w:hint="eastAsia" w:cs="宋体"/>
                <w:color w:val="auto"/>
                <w:sz w:val="24"/>
                <w:highlight w:val="none"/>
                <w:lang w:val="en-US" w:eastAsia="zh-CN"/>
              </w:rPr>
              <w:t>国有园区空间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eastAsia="zh-CN"/>
              </w:rPr>
              <w:t>（非本协议约定空间）的</w:t>
            </w:r>
            <w:r>
              <w:rPr>
                <w:rFonts w:hint="default" w:ascii="宋体" w:hAnsi="宋体" w:cs="宋体"/>
                <w:color w:val="auto"/>
                <w:sz w:val="24"/>
                <w:highlight w:val="none"/>
                <w:lang w:val="en-US" w:eastAsia="zh-CN"/>
              </w:rPr>
              <w:t>符合要求的企业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eastAsia="zh-CN"/>
              </w:rPr>
              <w:t>，可计入本项考核指标的完成数量，且同一企业不重复计入良渚新城管辖范围内其他园区的考核统计）</w:t>
            </w:r>
          </w:p>
        </w:tc>
        <w:tc>
          <w:tcPr>
            <w:tcW w:w="691" w:type="dxa"/>
            <w:vAlign w:val="center"/>
          </w:tcPr>
          <w:p w14:paraId="5265CE5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15</w:t>
            </w:r>
          </w:p>
        </w:tc>
        <w:tc>
          <w:tcPr>
            <w:tcW w:w="684" w:type="dxa"/>
            <w:vMerge w:val="restart"/>
            <w:vAlign w:val="center"/>
          </w:tcPr>
          <w:p w14:paraId="637FF98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30</w:t>
            </w:r>
          </w:p>
        </w:tc>
      </w:tr>
      <w:tr w14:paraId="15CA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1" w:hRule="atLeast"/>
          <w:jc w:val="center"/>
        </w:trPr>
        <w:tc>
          <w:tcPr>
            <w:tcW w:w="659" w:type="dxa"/>
            <w:vAlign w:val="center"/>
          </w:tcPr>
          <w:p w14:paraId="0A8C0D4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</w:t>
            </w:r>
          </w:p>
        </w:tc>
        <w:tc>
          <w:tcPr>
            <w:tcW w:w="1210" w:type="dxa"/>
            <w:vMerge w:val="continue"/>
            <w:vAlign w:val="center"/>
          </w:tcPr>
          <w:p w14:paraId="5E53C89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867" w:type="dxa"/>
            <w:vMerge w:val="restart"/>
            <w:vAlign w:val="center"/>
          </w:tcPr>
          <w:p w14:paraId="464F6F2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市场主体引育</w:t>
            </w:r>
          </w:p>
        </w:tc>
        <w:tc>
          <w:tcPr>
            <w:tcW w:w="5307" w:type="dxa"/>
            <w:vAlign w:val="center"/>
          </w:tcPr>
          <w:p w14:paraId="0735826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每年度引进优质企业数量分别为4家、5家、6家，按照完成率得分。其中，优质企业具体包括：从余杭区外新招引落地在良渚新城并通过余杭区双创评审、余杭区海创未来人才评审、国家高新技术企业、专精特新企业、雏鹰企业、规上工业企业、规上服务业企业、（准）独角兽企业等。（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由</w:t>
            </w:r>
            <w:r>
              <w:rPr>
                <w:rFonts w:hint="eastAsia" w:cs="宋体"/>
                <w:sz w:val="24"/>
                <w:highlight w:val="none"/>
                <w:lang w:val="en-US" w:eastAsia="zh-CN"/>
              </w:rPr>
              <w:t>丙方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主导</w:t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引进并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落地</w:t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于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良渚新城</w:t>
            </w:r>
            <w:r>
              <w:rPr>
                <w:rFonts w:hint="eastAsia" w:ascii="宋体" w:hAnsi="宋体" w:cs="宋体"/>
                <w:sz w:val="24"/>
                <w:highlight w:val="none"/>
                <w:lang w:eastAsia="zh-CN"/>
              </w:rPr>
              <w:t>辖区内（非本协议约定空间）的优质企业，可计入本项考核指标的完成数量，且同一企业不重复计入良渚新城管辖范围内其他园区的考核统计）</w:t>
            </w:r>
          </w:p>
        </w:tc>
        <w:tc>
          <w:tcPr>
            <w:tcW w:w="691" w:type="dxa"/>
            <w:vAlign w:val="center"/>
          </w:tcPr>
          <w:p w14:paraId="51D26E6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8</w:t>
            </w:r>
          </w:p>
        </w:tc>
        <w:tc>
          <w:tcPr>
            <w:tcW w:w="684" w:type="dxa"/>
            <w:vMerge w:val="continue"/>
            <w:vAlign w:val="center"/>
          </w:tcPr>
          <w:p w14:paraId="2F6F88B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25BA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1" w:hRule="atLeast"/>
          <w:jc w:val="center"/>
        </w:trPr>
        <w:tc>
          <w:tcPr>
            <w:tcW w:w="659" w:type="dxa"/>
            <w:vAlign w:val="center"/>
          </w:tcPr>
          <w:p w14:paraId="0FCFA1D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3</w:t>
            </w:r>
          </w:p>
        </w:tc>
        <w:tc>
          <w:tcPr>
            <w:tcW w:w="1210" w:type="dxa"/>
            <w:vMerge w:val="continue"/>
            <w:vAlign w:val="center"/>
          </w:tcPr>
          <w:p w14:paraId="7948AD5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3287F36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5307" w:type="dxa"/>
            <w:vAlign w:val="center"/>
          </w:tcPr>
          <w:p w14:paraId="774959F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每年度园区新培育国家高新技术企业、专精特新企业、雏鹰企业、规上工业企业、规上服务业企业、（准）独角兽企业等优质企业数量分别为4家、5家、6家，按照完成率得分。</w:t>
            </w:r>
          </w:p>
        </w:tc>
        <w:tc>
          <w:tcPr>
            <w:tcW w:w="691" w:type="dxa"/>
            <w:vAlign w:val="center"/>
          </w:tcPr>
          <w:p w14:paraId="7900FF5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7</w:t>
            </w:r>
          </w:p>
        </w:tc>
        <w:tc>
          <w:tcPr>
            <w:tcW w:w="684" w:type="dxa"/>
            <w:vMerge w:val="continue"/>
            <w:vAlign w:val="center"/>
          </w:tcPr>
          <w:p w14:paraId="257BC3A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6E4F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  <w:jc w:val="center"/>
        </w:trPr>
        <w:tc>
          <w:tcPr>
            <w:tcW w:w="659" w:type="dxa"/>
            <w:vAlign w:val="center"/>
          </w:tcPr>
          <w:p w14:paraId="5638C50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4</w:t>
            </w:r>
          </w:p>
        </w:tc>
        <w:tc>
          <w:tcPr>
            <w:tcW w:w="1210" w:type="dxa"/>
            <w:vMerge w:val="restart"/>
            <w:vAlign w:val="center"/>
          </w:tcPr>
          <w:p w14:paraId="6E0E8B3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产业发展效益</w:t>
            </w:r>
          </w:p>
        </w:tc>
        <w:tc>
          <w:tcPr>
            <w:tcW w:w="867" w:type="dxa"/>
            <w:vAlign w:val="center"/>
          </w:tcPr>
          <w:p w14:paraId="13074E6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税收</w:t>
            </w:r>
          </w:p>
          <w:p w14:paraId="3AB99D5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增量</w:t>
            </w:r>
          </w:p>
        </w:tc>
        <w:tc>
          <w:tcPr>
            <w:tcW w:w="5307" w:type="dxa"/>
            <w:vAlign w:val="center"/>
          </w:tcPr>
          <w:p w14:paraId="2388B8D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园区新招引落地企业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第二年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实现税收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500万元，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第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实现税收1000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万元，按照完成率得分。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第一年不作要求，直接计10分（房地产企业除外）。</w:t>
            </w:r>
          </w:p>
        </w:tc>
        <w:tc>
          <w:tcPr>
            <w:tcW w:w="691" w:type="dxa"/>
            <w:vAlign w:val="center"/>
          </w:tcPr>
          <w:p w14:paraId="0C10A9D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10</w:t>
            </w:r>
          </w:p>
        </w:tc>
        <w:tc>
          <w:tcPr>
            <w:tcW w:w="684" w:type="dxa"/>
            <w:vMerge w:val="restart"/>
            <w:vAlign w:val="center"/>
          </w:tcPr>
          <w:p w14:paraId="66323E1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2E81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  <w:jc w:val="center"/>
        </w:trPr>
        <w:tc>
          <w:tcPr>
            <w:tcW w:w="659" w:type="dxa"/>
            <w:vAlign w:val="center"/>
          </w:tcPr>
          <w:p w14:paraId="34638CB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1210" w:type="dxa"/>
            <w:vMerge w:val="continue"/>
            <w:vAlign w:val="center"/>
          </w:tcPr>
          <w:p w14:paraId="28D55F2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867" w:type="dxa"/>
            <w:vAlign w:val="center"/>
          </w:tcPr>
          <w:p w14:paraId="235BBB3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员工</w:t>
            </w:r>
          </w:p>
          <w:p w14:paraId="0D54FB1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数量</w:t>
            </w:r>
          </w:p>
        </w:tc>
        <w:tc>
          <w:tcPr>
            <w:tcW w:w="5307" w:type="dxa"/>
            <w:vAlign w:val="center"/>
          </w:tcPr>
          <w:p w14:paraId="0642026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园区企业员工总数第一年人数达到900人，第二年人数达到1000人，第三年人数达到1200人，以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每考核年度最后一个月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社保为准，按照完成率得分。</w:t>
            </w:r>
          </w:p>
        </w:tc>
        <w:tc>
          <w:tcPr>
            <w:tcW w:w="691" w:type="dxa"/>
            <w:vAlign w:val="center"/>
          </w:tcPr>
          <w:p w14:paraId="4B15DD4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10</w:t>
            </w:r>
          </w:p>
        </w:tc>
        <w:tc>
          <w:tcPr>
            <w:tcW w:w="684" w:type="dxa"/>
            <w:vMerge w:val="continue"/>
            <w:vAlign w:val="center"/>
          </w:tcPr>
          <w:p w14:paraId="7A4A0C3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3FE6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  <w:jc w:val="center"/>
        </w:trPr>
        <w:tc>
          <w:tcPr>
            <w:tcW w:w="659" w:type="dxa"/>
            <w:vAlign w:val="center"/>
          </w:tcPr>
          <w:p w14:paraId="42B835E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6</w:t>
            </w:r>
          </w:p>
        </w:tc>
        <w:tc>
          <w:tcPr>
            <w:tcW w:w="1210" w:type="dxa"/>
            <w:vMerge w:val="restart"/>
            <w:vAlign w:val="center"/>
          </w:tcPr>
          <w:p w14:paraId="3AE76D1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品牌宣传服务</w:t>
            </w:r>
          </w:p>
        </w:tc>
        <w:tc>
          <w:tcPr>
            <w:tcW w:w="867" w:type="dxa"/>
            <w:vAlign w:val="center"/>
          </w:tcPr>
          <w:p w14:paraId="4D1E31A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自媒体运营</w:t>
            </w:r>
          </w:p>
        </w:tc>
        <w:tc>
          <w:tcPr>
            <w:tcW w:w="5307" w:type="dxa"/>
            <w:vAlign w:val="center"/>
          </w:tcPr>
          <w:p w14:paraId="309E12F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2"/>
                <w:sz w:val="24"/>
                <w:szCs w:val="24"/>
                <w:highlight w:val="none"/>
                <w:shd w:val="clear"/>
                <w:lang w:val="en-US" w:eastAsia="zh-CN" w:bidi="ar"/>
              </w:rPr>
              <w:t>负责做好园区官方自媒体账号的建设与宣传运营，公众号每周至少输出2篇原创内容、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4"/>
                <w:szCs w:val="24"/>
                <w:highlight w:val="none"/>
                <w:lang w:val="en-US" w:eastAsia="zh-CN" w:bidi="ar"/>
              </w:rPr>
              <w:t>4篇转发内容，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4"/>
                <w:szCs w:val="24"/>
                <w:highlight w:val="none"/>
                <w:shd w:val="clear"/>
                <w:lang w:val="en-US" w:eastAsia="zh-CN" w:bidi="ar"/>
              </w:rPr>
              <w:t>每月向新城公众号供稿并录用2篇，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未完成的，每少1篇扣0.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分，扣完为止。</w:t>
            </w:r>
          </w:p>
        </w:tc>
        <w:tc>
          <w:tcPr>
            <w:tcW w:w="691" w:type="dxa"/>
            <w:vAlign w:val="center"/>
          </w:tcPr>
          <w:p w14:paraId="6A863E8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684" w:type="dxa"/>
            <w:vMerge w:val="restart"/>
            <w:vAlign w:val="center"/>
          </w:tcPr>
          <w:p w14:paraId="3C5C2D9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10</w:t>
            </w:r>
          </w:p>
        </w:tc>
      </w:tr>
      <w:tr w14:paraId="3A05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659" w:type="dxa"/>
            <w:vAlign w:val="center"/>
          </w:tcPr>
          <w:p w14:paraId="31C4D76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7</w:t>
            </w:r>
          </w:p>
        </w:tc>
        <w:tc>
          <w:tcPr>
            <w:tcW w:w="1210" w:type="dxa"/>
            <w:vMerge w:val="continue"/>
            <w:vAlign w:val="center"/>
          </w:tcPr>
          <w:p w14:paraId="1B251F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867" w:type="dxa"/>
            <w:vAlign w:val="center"/>
          </w:tcPr>
          <w:p w14:paraId="1F73879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品牌宣传推广</w:t>
            </w:r>
          </w:p>
        </w:tc>
        <w:tc>
          <w:tcPr>
            <w:tcW w:w="5307" w:type="dxa"/>
            <w:vAlign w:val="center"/>
          </w:tcPr>
          <w:p w14:paraId="5CCD1B1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积极做好园区品宣发声工作，每年至少5次市级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及以上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主流媒体报道，未完成的，每少1次扣1分，扣完为止。</w:t>
            </w:r>
          </w:p>
        </w:tc>
        <w:tc>
          <w:tcPr>
            <w:tcW w:w="691" w:type="dxa"/>
            <w:vAlign w:val="center"/>
          </w:tcPr>
          <w:p w14:paraId="0D59FB3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684" w:type="dxa"/>
            <w:vMerge w:val="continue"/>
            <w:vAlign w:val="center"/>
          </w:tcPr>
          <w:p w14:paraId="41BA438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2901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9" w:hRule="atLeast"/>
          <w:jc w:val="center"/>
        </w:trPr>
        <w:tc>
          <w:tcPr>
            <w:tcW w:w="659" w:type="dxa"/>
            <w:vAlign w:val="center"/>
          </w:tcPr>
          <w:p w14:paraId="0DFED37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8</w:t>
            </w:r>
          </w:p>
        </w:tc>
        <w:tc>
          <w:tcPr>
            <w:tcW w:w="1210" w:type="dxa"/>
            <w:vAlign w:val="center"/>
          </w:tcPr>
          <w:p w14:paraId="67C0CE2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活动策划举办</w:t>
            </w:r>
          </w:p>
        </w:tc>
        <w:tc>
          <w:tcPr>
            <w:tcW w:w="6174" w:type="dxa"/>
            <w:gridSpan w:val="2"/>
            <w:vAlign w:val="center"/>
          </w:tcPr>
          <w:p w14:paraId="11E39AA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pacing w:val="0"/>
                <w:kern w:val="21"/>
                <w:sz w:val="24"/>
                <w:szCs w:val="24"/>
                <w:highlight w:val="none"/>
                <w:lang w:val="en-US" w:eastAsia="zh-CN"/>
              </w:rPr>
              <w:t>全年策划举办各类活动不少于12场。其中，大型活动不少于1场（规模≥100人/场）、中型活动不少于2场（50人/场≤规模＜100人/场）、小型活动不少于9场（20人/场≤规模＜50人/场）</w:t>
            </w:r>
            <w:r>
              <w:rPr>
                <w:rFonts w:hint="eastAsia" w:ascii="宋体" w:hAnsi="宋体" w:eastAsia="宋体" w:cs="宋体"/>
                <w:spacing w:val="0"/>
                <w:kern w:val="21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7F1FC9D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未完成的，大型活动每少一场扣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分，中型活动每少一场扣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分，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活动每少一场扣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分，扣完为止。</w:t>
            </w:r>
          </w:p>
        </w:tc>
        <w:tc>
          <w:tcPr>
            <w:tcW w:w="691" w:type="dxa"/>
            <w:vAlign w:val="center"/>
          </w:tcPr>
          <w:p w14:paraId="168E85D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15</w:t>
            </w:r>
          </w:p>
        </w:tc>
        <w:tc>
          <w:tcPr>
            <w:tcW w:w="684" w:type="dxa"/>
            <w:vAlign w:val="center"/>
          </w:tcPr>
          <w:p w14:paraId="55C4B80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15</w:t>
            </w:r>
          </w:p>
        </w:tc>
      </w:tr>
      <w:tr w14:paraId="32F5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8" w:hRule="atLeast"/>
          <w:jc w:val="center"/>
        </w:trPr>
        <w:tc>
          <w:tcPr>
            <w:tcW w:w="659" w:type="dxa"/>
            <w:vAlign w:val="center"/>
          </w:tcPr>
          <w:p w14:paraId="37B4058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9</w:t>
            </w:r>
          </w:p>
        </w:tc>
        <w:tc>
          <w:tcPr>
            <w:tcW w:w="1210" w:type="dxa"/>
            <w:vAlign w:val="center"/>
          </w:tcPr>
          <w:p w14:paraId="66A50A4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企业服务与服务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体系建设</w:t>
            </w:r>
          </w:p>
        </w:tc>
        <w:tc>
          <w:tcPr>
            <w:tcW w:w="6174" w:type="dxa"/>
            <w:gridSpan w:val="2"/>
            <w:vAlign w:val="center"/>
          </w:tcPr>
          <w:p w14:paraId="047CA8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1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21"/>
                <w:sz w:val="24"/>
                <w:szCs w:val="24"/>
                <w:highlight w:val="none"/>
                <w:shd w:val="clear" w:fill="FFFFFF"/>
                <w:lang w:val="en-US" w:eastAsia="zh-CN" w:bidi="ar"/>
              </w:rPr>
              <w:t>每月走访企业不少于40家次，走访企业数不少于20家，及时对接挖掘企业需求，每月递交走访服务报告1份；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形成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第三方服务机构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库，年度开展实质性服务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不少于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20次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1E2B142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未完成的，每少一家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/次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扣0.5分，扣完为止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；未提交走访服务报告，每少1次扣1分。</w:t>
            </w:r>
          </w:p>
        </w:tc>
        <w:tc>
          <w:tcPr>
            <w:tcW w:w="691" w:type="dxa"/>
            <w:vAlign w:val="center"/>
          </w:tcPr>
          <w:p w14:paraId="638A2E0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  <w:tc>
          <w:tcPr>
            <w:tcW w:w="684" w:type="dxa"/>
            <w:vAlign w:val="center"/>
          </w:tcPr>
          <w:p w14:paraId="0C07894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20</w:t>
            </w:r>
          </w:p>
        </w:tc>
      </w:tr>
      <w:tr w14:paraId="770D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1" w:hRule="atLeast"/>
          <w:jc w:val="center"/>
        </w:trPr>
        <w:tc>
          <w:tcPr>
            <w:tcW w:w="659" w:type="dxa"/>
            <w:vAlign w:val="center"/>
          </w:tcPr>
          <w:p w14:paraId="459EF0C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10</w:t>
            </w:r>
          </w:p>
        </w:tc>
        <w:tc>
          <w:tcPr>
            <w:tcW w:w="1210" w:type="dxa"/>
            <w:vAlign w:val="center"/>
          </w:tcPr>
          <w:p w14:paraId="1A65CC1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数智赋能</w:t>
            </w:r>
          </w:p>
        </w:tc>
        <w:tc>
          <w:tcPr>
            <w:tcW w:w="6174" w:type="dxa"/>
            <w:gridSpan w:val="2"/>
            <w:vAlign w:val="center"/>
          </w:tcPr>
          <w:p w14:paraId="6A91A22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导入成熟的智慧园区平台，针对不同使用对象、使用场景，提供易用、好用、实用的数智化工具，实现共享空间的有序预约，服务资源的线上化、共享化</w:t>
            </w: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07F706C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 w:firstLine="480" w:firstLineChars="200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发生相关投诉每次扣0.5分，其他根据实际完成情况酌情扣分。</w:t>
            </w:r>
          </w:p>
        </w:tc>
        <w:tc>
          <w:tcPr>
            <w:tcW w:w="691" w:type="dxa"/>
            <w:vAlign w:val="center"/>
          </w:tcPr>
          <w:p w14:paraId="7F1993D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  <w:tc>
          <w:tcPr>
            <w:tcW w:w="684" w:type="dxa"/>
            <w:vAlign w:val="center"/>
          </w:tcPr>
          <w:p w14:paraId="2F3BFF5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default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  <w:t>5</w:t>
            </w:r>
          </w:p>
        </w:tc>
      </w:tr>
      <w:tr w14:paraId="37F6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8043" w:type="dxa"/>
            <w:gridSpan w:val="4"/>
            <w:vAlign w:val="center"/>
          </w:tcPr>
          <w:p w14:paraId="1BAE621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合计</w:t>
            </w:r>
          </w:p>
        </w:tc>
        <w:tc>
          <w:tcPr>
            <w:tcW w:w="691" w:type="dxa"/>
            <w:vAlign w:val="center"/>
          </w:tcPr>
          <w:p w14:paraId="078E84D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100</w:t>
            </w:r>
          </w:p>
        </w:tc>
        <w:tc>
          <w:tcPr>
            <w:tcW w:w="684" w:type="dxa"/>
            <w:vAlign w:val="center"/>
          </w:tcPr>
          <w:p w14:paraId="7BE6E1C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12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100</w:t>
            </w:r>
          </w:p>
        </w:tc>
      </w:tr>
    </w:tbl>
    <w:p w14:paraId="7A7A5D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??">
    <w:altName w:val="Noto Sans SC Medium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804549A"/>
    <w:rsid w:val="700447C1"/>
    <w:rsid w:val="BF5FA23E"/>
    <w:rsid w:val="F804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422" w:firstLineChars="200"/>
      <w:outlineLvl w:val="0"/>
    </w:pPr>
    <w:rPr>
      <w:b/>
      <w:kern w:val="44"/>
      <w:sz w:val="24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adjustRightInd w:val="0"/>
      <w:spacing w:beforeLines="0" w:beforeAutospacing="0" w:afterLines="0" w:afterAutospacing="0" w:line="560" w:lineRule="exact"/>
      <w:ind w:firstLine="422" w:firstLineChars="200"/>
      <w:outlineLvl w:val="1"/>
    </w:pPr>
    <w:rPr>
      <w:rFonts w:ascii="Arial" w:hAnsi="Arial" w:eastAsia="宋体"/>
      <w:b/>
      <w:sz w:val="24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next w:val="5"/>
    <w:qFormat/>
    <w:uiPriority w:val="0"/>
    <w:pPr>
      <w:spacing w:line="480" w:lineRule="atLeast"/>
      <w:ind w:firstLine="480"/>
    </w:pPr>
    <w:rPr>
      <w:rFonts w:ascii="宋体" w:hAnsi="宋体" w:cs="宋体"/>
      <w:color w:val="000000"/>
      <w:sz w:val="24"/>
      <w:u w:val="none" w:color="000000"/>
    </w:rPr>
  </w:style>
  <w:style w:type="paragraph" w:customStyle="1" w:styleId="5">
    <w:name w:val="正文文本首行缩进 2"/>
    <w:basedOn w:val="6"/>
    <w:qFormat/>
    <w:uiPriority w:val="0"/>
    <w:pPr>
      <w:tabs>
        <w:tab w:val="right" w:leader="dot" w:pos="8268"/>
      </w:tabs>
      <w:spacing w:line="200" w:lineRule="atLeast"/>
      <w:ind w:firstLine="420"/>
    </w:pPr>
    <w:rPr>
      <w:rFonts w:ascii="宋体" w:hAnsi="Courier New" w:eastAsia="宋体" w:cs="Times New Roman"/>
      <w:spacing w:val="-4"/>
      <w:sz w:val="18"/>
    </w:rPr>
  </w:style>
  <w:style w:type="paragraph" w:customStyle="1" w:styleId="6">
    <w:name w:val="正文缩进1"/>
    <w:basedOn w:val="7"/>
    <w:next w:val="5"/>
    <w:qFormat/>
    <w:uiPriority w:val="0"/>
    <w:pPr>
      <w:tabs>
        <w:tab w:val="right" w:leader="dot" w:pos="8268"/>
      </w:tabs>
      <w:autoSpaceDE w:val="0"/>
      <w:autoSpaceDN w:val="0"/>
      <w:snapToGrid w:val="0"/>
      <w:spacing w:after="120" w:line="360" w:lineRule="auto"/>
      <w:ind w:left="420" w:leftChars="200"/>
    </w:pPr>
    <w:rPr>
      <w:szCs w:val="21"/>
    </w:rPr>
  </w:style>
  <w:style w:type="paragraph" w:customStyle="1" w:styleId="7">
    <w:name w:val="正文1"/>
    <w:basedOn w:val="8"/>
    <w:next w:val="9"/>
    <w:qFormat/>
    <w:uiPriority w:val="0"/>
    <w:pPr>
      <w:tabs>
        <w:tab w:val="right" w:leader="dot" w:pos="8268"/>
      </w:tabs>
      <w:ind w:left="0" w:leftChars="0" w:firstLine="480" w:firstLineChars="200"/>
    </w:pPr>
    <w:rPr>
      <w:rFonts w:ascii="仿宋_GB2312" w:hAnsi="Courier New" w:eastAsia="仿宋_GB2312"/>
      <w:kern w:val="28"/>
      <w:sz w:val="24"/>
    </w:rPr>
  </w:style>
  <w:style w:type="paragraph" w:styleId="8">
    <w:name w:val="toc 3"/>
    <w:basedOn w:val="1"/>
    <w:next w:val="1"/>
    <w:qFormat/>
    <w:uiPriority w:val="0"/>
    <w:pPr>
      <w:tabs>
        <w:tab w:val="right" w:leader="dot" w:pos="8268"/>
      </w:tabs>
      <w:spacing w:line="460" w:lineRule="exact"/>
      <w:ind w:left="840" w:leftChars="400" w:firstLine="482"/>
    </w:pPr>
    <w:rPr>
      <w:rFonts w:ascii="宋体" w:hAnsi="宋体"/>
    </w:rPr>
  </w:style>
  <w:style w:type="paragraph" w:customStyle="1" w:styleId="9">
    <w:name w:val="标题 21"/>
    <w:basedOn w:val="7"/>
    <w:next w:val="10"/>
    <w:qFormat/>
    <w:uiPriority w:val="0"/>
    <w:pPr>
      <w:keepNext/>
      <w:keepLines/>
      <w:tabs>
        <w:tab w:val="left" w:pos="706"/>
        <w:tab w:val="clear" w:pos="8268"/>
      </w:tabs>
      <w:ind w:left="106" w:firstLine="454"/>
      <w:outlineLvl w:val="1"/>
    </w:pPr>
    <w:rPr>
      <w:rFonts w:ascii="Arial" w:hAnsi="Arial" w:eastAsia="??"/>
      <w:b/>
      <w:bCs/>
      <w:szCs w:val="32"/>
    </w:rPr>
  </w:style>
  <w:style w:type="paragraph" w:customStyle="1" w:styleId="10">
    <w:name w:val="正文 A"/>
    <w:next w:val="9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lang w:val="en-US" w:eastAsia="zh-CN" w:bidi="ar-SA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1174</Words>
  <Characters>1226</Characters>
  <Lines>0</Lines>
  <Paragraphs>0</Paragraphs>
  <TotalTime>9</TotalTime>
  <ScaleCrop>false</ScaleCrop>
  <LinksUpToDate>false</LinksUpToDate>
  <CharactersWithSpaces>1226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2026-01-05T17:11:00Z</dcterms:created>
  <dc:creator>园区运营</dc:creator>
  <cp:lastModifiedBy>WPS_1699587948</cp:lastModifiedBy>
  <dcterms:modified xsi:type="dcterms:W3CDTF">2026-06-25T02:33:12Z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FE4317F092D24B7CB0A520530DD04A86_13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