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1B6C8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筑牢商密防线！良渚新城举办商业秘密保护专题培训</w:t>
      </w:r>
    </w:p>
    <w:p w14:paraId="5CA3E247">
      <w:pPr>
        <w:rPr>
          <w:rFonts w:hint="eastAsia"/>
        </w:rPr>
      </w:pPr>
    </w:p>
    <w:p w14:paraId="0CE7ECA9">
      <w:pPr>
        <w:rPr>
          <w:rFonts w:hint="eastAsia"/>
        </w:rPr>
      </w:pPr>
      <w:r>
        <w:rPr>
          <w:rFonts w:hint="eastAsia"/>
        </w:rPr>
        <w:t>6月18日下午，"筑牢商密防线·护航创新发展"商业秘密保护专题培训在洋帆中心顺利举行。活动旨在帮助企业精准把握新规合规要求、构建立体防护体系、提升数字化取证维权能力，助力辖区企业有效防范泄密风险。</w:t>
      </w:r>
    </w:p>
    <w:p w14:paraId="7E774D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1920" cy="3467735"/>
            <wp:effectExtent l="0" t="0" r="10160" b="6985"/>
            <wp:docPr id="1" name="图片 1" descr="61b1959f6c1c995062b9f7518ba4e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1b1959f6c1c995062b9f7518ba4e4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C4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1920" cy="3467735"/>
            <wp:effectExtent l="0" t="0" r="10160" b="6985"/>
            <wp:docPr id="2" name="图片 2" descr="2c8f02e67dcdcef86a6cf3ff4e5064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c8f02e67dcdcef86a6cf3ff4e50643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D87F">
      <w:pPr>
        <w:rPr>
          <w:rFonts w:hint="eastAsia"/>
        </w:rPr>
      </w:pPr>
      <w:r>
        <w:rPr>
          <w:rFonts w:hint="eastAsia"/>
        </w:rPr>
        <w:t>活动由杭州良渚新城管理委员会指导，良渚新城知识产权公共服务平台、杭州知识产权运营管理有限公司、绿城科技产业服务集团有限公司、洋帆中心主办，杭州市余杭区知识产权服务业协会、浙江京衡律师事务所、杭州玹武律询科技有限公司承办。现场吸引了辖区企业法务负责人、知识产权管理人员等30余位代表参会。</w:t>
      </w:r>
    </w:p>
    <w:p w14:paraId="3CBBB41A">
      <w:pPr>
        <w:rPr>
          <w:rFonts w:hint="eastAsia"/>
        </w:rPr>
      </w:pPr>
    </w:p>
    <w:p w14:paraId="5105561C">
      <w:pPr>
        <w:rPr>
          <w:rFonts w:hint="eastAsia"/>
          <w:highlight w:val="none"/>
        </w:rPr>
      </w:pPr>
      <w:r>
        <w:rPr>
          <w:rFonts w:hint="eastAsia"/>
        </w:rPr>
        <w:t>2026年6月1日，新版《商业秘密保护规定》正式施行，进一步收紧合规要求、压实企业主体责任。培训伊始，良渚新城知识产权公共服务平台围绕</w:t>
      </w:r>
      <w:r>
        <w:rPr>
          <w:rFonts w:hint="eastAsia"/>
          <w:lang w:val="en-US" w:eastAsia="zh-CN"/>
        </w:rPr>
        <w:t>平台</w:t>
      </w:r>
      <w:r>
        <w:rPr>
          <w:rFonts w:hint="eastAsia"/>
        </w:rPr>
        <w:t>惠企服务作了全面介绍，系统梳理了专利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商标、医药</w:t>
      </w:r>
      <w:r>
        <w:rPr>
          <w:rFonts w:hint="eastAsia"/>
          <w:highlight w:val="none"/>
          <w:lang w:val="en-US" w:eastAsia="zh-CN"/>
        </w:rPr>
        <w:t>情报</w:t>
      </w:r>
      <w:r>
        <w:rPr>
          <w:rFonts w:hint="eastAsia"/>
          <w:highlight w:val="none"/>
        </w:rPr>
        <w:t>检索、专利预评估、专利托管、</w:t>
      </w:r>
      <w:r>
        <w:rPr>
          <w:rFonts w:hint="eastAsia"/>
          <w:highlight w:val="none"/>
          <w:lang w:val="en-US" w:eastAsia="zh-CN"/>
        </w:rPr>
        <w:t>出海服务</w:t>
      </w:r>
      <w:r>
        <w:rPr>
          <w:rFonts w:hint="eastAsia"/>
          <w:highlight w:val="none"/>
        </w:rPr>
        <w:t>等一站式服务内容。截至目前，平台累计服务企业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00余家，组织专题培训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场、参与人次超</w:t>
      </w:r>
      <w:r>
        <w:rPr>
          <w:rFonts w:hint="eastAsia"/>
          <w:highlight w:val="none"/>
          <w:lang w:val="en-US" w:eastAsia="zh-CN"/>
        </w:rPr>
        <w:t>9</w:t>
      </w:r>
      <w:r>
        <w:rPr>
          <w:rFonts w:hint="eastAsia"/>
          <w:highlight w:val="none"/>
        </w:rPr>
        <w:t>00人。</w:t>
      </w:r>
    </w:p>
    <w:p w14:paraId="6214A0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1920" cy="3467735"/>
            <wp:effectExtent l="0" t="0" r="10160" b="6985"/>
            <wp:docPr id="3" name="图片 3" descr="67ffed4cef6862edb1609d0120c4b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7ffed4cef6862edb1609d0120c4b9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3D67">
      <w:pPr>
        <w:rPr>
          <w:rFonts w:hint="eastAsia"/>
          <w:highlight w:val="cyan"/>
        </w:rPr>
      </w:pPr>
      <w:r>
        <w:rPr>
          <w:rFonts w:hint="eastAsia"/>
        </w:rPr>
        <w:t>随后，浙江京衡律师事务所专利法律部副主任郭锦春律师聚焦</w:t>
      </w:r>
      <w:r>
        <w:rPr>
          <w:rFonts w:hint="eastAsia"/>
          <w:b/>
          <w:bCs/>
        </w:rPr>
        <w:t>"新规严管下的'人防+物防+技防'落地实战"</w:t>
      </w:r>
      <w:r>
        <w:rPr>
          <w:rFonts w:hint="eastAsia"/>
          <w:highlight w:val="none"/>
        </w:rPr>
        <w:t>开展主题分享。他从商业秘密"三性"认定标准出发，详细讲解了企业如何搭建分级保护体系，重点拆解了新规五大核心变化——法律效力跃升、保护逻辑从"事后维权"转向"事前建体系"、保密措施认定标准细化至7+1项、侵权处罚上限提至500万元，并系统讲授了人防、物防、技防、制度防四维分级落地方案，从入职源头防控到离职闭环收尾逐环节拆解实操要点，辅以12项制度文件模板与四维度自查清单，帮助企业"拿回去就能用"。</w:t>
      </w:r>
    </w:p>
    <w:p w14:paraId="1198D2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1920" cy="3467735"/>
            <wp:effectExtent l="0" t="0" r="10160" b="6985"/>
            <wp:docPr id="4" name="图片 4" descr="81adc7388fd86001f76199304569f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1adc7388fd86001f76199304569fe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1920" cy="3467735"/>
            <wp:effectExtent l="0" t="0" r="10160" b="6985"/>
            <wp:docPr id="5" name="图片 5" descr="3ffca51b10b08115b2bf51d82a359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ffca51b10b08115b2bf51d82a3592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0D60">
      <w:pPr>
        <w:rPr>
          <w:rFonts w:hint="eastAsia"/>
        </w:rPr>
      </w:pPr>
      <w:r>
        <w:rPr>
          <w:rFonts w:hint="eastAsia"/>
        </w:rPr>
        <w:t>杭州玹武律询创始人、电子数据司法鉴定人陆平围绕</w:t>
      </w:r>
      <w:r>
        <w:rPr>
          <w:rFonts w:hint="eastAsia"/>
          <w:b/>
          <w:bCs/>
        </w:rPr>
        <w:t>"数字化泄密场景还原与电子取证实务"</w:t>
      </w:r>
      <w:r>
        <w:rPr>
          <w:rFonts w:hint="eastAsia"/>
        </w:rPr>
        <w:t>作实务演示。他从商业秘密案件权利人胜诉率不足20%的现实困境切入，现场展示了已删除数据恢复、操作日志分析、外发行为追踪等取证技术手段，并系统拆解了文档加密、屏幕水印、终端行为管控等安全防护措施的应用实践。</w:t>
      </w:r>
    </w:p>
    <w:p w14:paraId="3693CB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1920" cy="3467735"/>
            <wp:effectExtent l="0" t="0" r="10160" b="6985"/>
            <wp:docPr id="6" name="图片 6" descr="e964d33d6ae0f069850aa9a29660c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964d33d6ae0f069850aa9a29660c7d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1920" cy="3467735"/>
            <wp:effectExtent l="0" t="0" r="10160" b="6985"/>
            <wp:docPr id="7" name="图片 7" descr="e255421d7d29c688042290701f419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255421d7d29c688042290701f419b4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856CA4">
      <w:r>
        <w:rPr>
          <w:rFonts w:hint="eastAsia"/>
        </w:rPr>
        <w:t>本次培训是良渚新城落实"2026年企业商业秘密保护能力提升服务月"工作部署的重要举措，内容紧贴实务、指导性强，帮助辖区企业厘清了新规合规路径与取证维权方法。未来，良渚新城将持续深化商业秘密保护工作，通过"新规赋能+立体防护+数字取证"的组合拳，助力更多企业筑牢商密安全防线，为良渚新城产业高质量发展保驾护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24537"/>
    <w:rsid w:val="36641419"/>
    <w:rsid w:val="6C9B655B"/>
    <w:rsid w:val="78E4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949</Words>
  <Characters>970</Characters>
  <Lines>0</Lines>
  <Paragraphs>0</Paragraphs>
  <TotalTime>17</TotalTime>
  <ScaleCrop>false</ScaleCrop>
  <LinksUpToDate>false</LinksUpToDate>
  <CharactersWithSpaces>970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2026-06-18T03:18:00Z</dcterms:created>
  <dc:creator>89836</dc:creator>
  <cp:lastModifiedBy>WPS_1699587948</cp:lastModifiedBy>
  <dcterms:modified xsi:type="dcterms:W3CDTF">2026-06-18T08:51:42Z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eyJoZGlkIjoiNmJhMzI0Yzc0MzA4MmMwZDkxNTJlMTNjNjM5MTNjZjQiLCJ1c2VySWQiOiIxNTU2NDA3Mzc5In0=</vt:lpwstr>
  </property>
  <property fmtid="{D5CDD505-2E9C-101B-9397-08002B2CF9AE}" pid="4" name="ICV">
    <vt:lpwstr>BD868E2D38134853808211BB0FDAD015_13</vt:lpwstr>
  </property>
</Properties>
</file>