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CellMar>
          <w:left w:w="0" w:type="dxa"/>
          <w:right w:w="0" w:type="dxa"/>
        </w:tblCellMar>
        <w:tblLook w:val="04A0" w:firstRow="1" w:lastRow="0" w:firstColumn="1" w:lastColumn="0" w:noHBand="0" w:noVBand="1"/>
      </w:tblPr>
      <w:tblGrid>
        <w:gridCol w:w="8293"/>
        <w:gridCol w:w="13"/>
      </w:tblGrid>
      <w:tr w:rsidR="00AA4678" w:rsidRPr="00AA4678" w:rsidTr="00AA4678">
        <w:trPr>
          <w:tblCellSpacing w:w="0" w:type="dxa"/>
          <w:jc w:val="center"/>
        </w:trPr>
        <w:tc>
          <w:tcPr>
            <w:tcW w:w="0" w:type="auto"/>
            <w:gridSpan w:val="2"/>
            <w:shd w:val="clear" w:color="auto" w:fill="FFFFFF"/>
            <w:vAlign w:val="center"/>
            <w:hideMark/>
          </w:tcPr>
          <w:p w:rsidR="00AA4678" w:rsidRPr="00AA4678" w:rsidRDefault="00AA4678" w:rsidP="00AA4678">
            <w:pPr>
              <w:widowControl/>
              <w:spacing w:after="0"/>
              <w:jc w:val="center"/>
              <w:rPr>
                <w:rFonts w:ascii="宋体" w:eastAsia="宋体" w:hAnsi="宋体" w:cs="宋体"/>
                <w:kern w:val="0"/>
                <w:sz w:val="24"/>
                <w:szCs w:val="24"/>
              </w:rPr>
            </w:pPr>
            <w:r w:rsidRPr="00AA4678">
              <w:rPr>
                <w:rFonts w:ascii="宋体" w:eastAsia="宋体" w:hAnsi="宋体" w:cs="宋体"/>
                <w:kern w:val="0"/>
                <w:sz w:val="24"/>
                <w:szCs w:val="24"/>
              </w:rPr>
              <w:t>Apache Arrow：一个跨平台的内存数据交换格式</w:t>
            </w:r>
          </w:p>
        </w:tc>
      </w:tr>
      <w:tr w:rsidR="00AA4678" w:rsidRPr="00AA4678" w:rsidTr="00AA4678">
        <w:trPr>
          <w:trHeight w:val="204"/>
          <w:tblCellSpacing w:w="0" w:type="dxa"/>
          <w:jc w:val="center"/>
        </w:trPr>
        <w:tc>
          <w:tcPr>
            <w:tcW w:w="0" w:type="auto"/>
            <w:gridSpan w:val="2"/>
            <w:shd w:val="clear" w:color="auto" w:fill="FFFFFF"/>
            <w:vAlign w:val="center"/>
            <w:hideMark/>
          </w:tcPr>
          <w:p w:rsidR="00AA4678" w:rsidRPr="00AA4678" w:rsidRDefault="00AA4678" w:rsidP="00AA4678">
            <w:pPr>
              <w:widowControl/>
              <w:spacing w:after="0" w:line="204" w:lineRule="atLeast"/>
              <w:jc w:val="left"/>
              <w:rPr>
                <w:rFonts w:ascii="宋体" w:eastAsia="宋体" w:hAnsi="宋体" w:cs="宋体"/>
                <w:kern w:val="0"/>
                <w:sz w:val="24"/>
                <w:szCs w:val="24"/>
              </w:rPr>
            </w:pPr>
            <w:r w:rsidRPr="00AA4678">
              <w:rPr>
                <w:rFonts w:ascii="宋体" w:eastAsia="宋体" w:hAnsi="宋体" w:cs="宋体"/>
                <w:kern w:val="0"/>
                <w:sz w:val="24"/>
                <w:szCs w:val="24"/>
              </w:rPr>
              <w:t> </w:t>
            </w:r>
          </w:p>
        </w:tc>
      </w:tr>
      <w:tr w:rsidR="00AA4678" w:rsidRPr="00AA4678" w:rsidTr="00AA4678">
        <w:trPr>
          <w:tblCellSpacing w:w="0" w:type="dxa"/>
          <w:jc w:val="center"/>
        </w:trPr>
        <w:tc>
          <w:tcPr>
            <w:tcW w:w="0" w:type="auto"/>
            <w:tcBorders>
              <w:top w:val="nil"/>
              <w:left w:val="nil"/>
              <w:bottom w:val="nil"/>
              <w:right w:val="nil"/>
            </w:tcBorders>
            <w:shd w:val="clear" w:color="auto" w:fill="FFFFFF"/>
            <w:vAlign w:val="center"/>
            <w:hideMark/>
          </w:tcPr>
          <w:p w:rsidR="00AA4678" w:rsidRPr="00AA4678" w:rsidRDefault="00AA4678" w:rsidP="00AA4678">
            <w:pPr>
              <w:widowControl/>
              <w:spacing w:after="0"/>
              <w:jc w:val="center"/>
              <w:rPr>
                <w:rFonts w:ascii="宋体" w:eastAsia="宋体" w:hAnsi="宋体" w:cs="宋体"/>
                <w:kern w:val="0"/>
                <w:sz w:val="24"/>
                <w:szCs w:val="24"/>
              </w:rPr>
            </w:pPr>
            <w:r w:rsidRPr="00AA4678">
              <w:rPr>
                <w:rFonts w:ascii="宋体" w:eastAsia="宋体" w:hAnsi="宋体" w:cs="宋体"/>
                <w:kern w:val="0"/>
                <w:sz w:val="24"/>
                <w:szCs w:val="24"/>
              </w:rPr>
              <w:t> 来源：CSDN   发布于 2016-3-2</w:t>
            </w:r>
          </w:p>
        </w:tc>
        <w:tc>
          <w:tcPr>
            <w:tcW w:w="0" w:type="auto"/>
            <w:vAlign w:val="center"/>
            <w:hideMark/>
          </w:tcPr>
          <w:p w:rsidR="00AA4678" w:rsidRPr="00AA4678" w:rsidRDefault="00AA4678" w:rsidP="00AA4678">
            <w:pPr>
              <w:widowControl/>
              <w:spacing w:after="0"/>
              <w:jc w:val="left"/>
              <w:rPr>
                <w:rFonts w:ascii="Times New Roman" w:eastAsia="Times New Roman" w:hAnsi="Times New Roman" w:cs="Times New Roman"/>
                <w:kern w:val="0"/>
                <w:sz w:val="20"/>
                <w:szCs w:val="20"/>
              </w:rPr>
            </w:pPr>
          </w:p>
        </w:tc>
      </w:tr>
      <w:tr w:rsidR="00AA4678" w:rsidRPr="00AA4678" w:rsidTr="00AA4678">
        <w:trPr>
          <w:trHeight w:val="864"/>
          <w:tblCellSpacing w:w="0" w:type="dxa"/>
          <w:jc w:val="center"/>
        </w:trPr>
        <w:tc>
          <w:tcPr>
            <w:tcW w:w="0" w:type="auto"/>
            <w:shd w:val="clear" w:color="auto" w:fill="FFFFFF"/>
            <w:vAlign w:val="center"/>
            <w:hideMark/>
          </w:tcPr>
          <w:p w:rsidR="00AA4678" w:rsidRPr="00AA4678" w:rsidRDefault="00AA4678" w:rsidP="00AA4678">
            <w:pPr>
              <w:widowControl/>
              <w:spacing w:after="0"/>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2745" cy="133350"/>
                  <wp:effectExtent l="0" t="0" r="8255" b="0"/>
                  <wp:docPr id="4" name="图片 4" descr="http://wenku.uml.com.cn/images/3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nku.uml.com.cn/images/3st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745" cy="133350"/>
                          </a:xfrm>
                          <a:prstGeom prst="rect">
                            <a:avLst/>
                          </a:prstGeom>
                          <a:noFill/>
                          <a:ln>
                            <a:noFill/>
                          </a:ln>
                        </pic:spPr>
                      </pic:pic>
                    </a:graphicData>
                  </a:graphic>
                </wp:inline>
              </w:drawing>
            </w:r>
            <w:r w:rsidRPr="00AA4678">
              <w:rPr>
                <w:rFonts w:ascii="宋体" w:eastAsia="宋体" w:hAnsi="宋体" w:cs="宋体"/>
                <w:kern w:val="0"/>
                <w:sz w:val="24"/>
                <w:szCs w:val="24"/>
              </w:rPr>
              <w:t>1451 次浏览    </w:t>
            </w:r>
            <w:bookmarkStart w:id="0" w:name="_GoBack"/>
            <w:bookmarkEnd w:id="0"/>
            <w:r w:rsidRPr="00AA4678">
              <w:rPr>
                <w:rFonts w:ascii="宋体" w:eastAsia="宋体" w:hAnsi="宋体" w:cs="宋体"/>
                <w:kern w:val="0"/>
                <w:sz w:val="24"/>
                <w:szCs w:val="24"/>
              </w:rPr>
              <w:t xml:space="preserve"> 评价： </w:t>
            </w:r>
            <w:hyperlink r:id="rId7" w:history="1">
              <w:r w:rsidRPr="00AA4678">
                <w:rPr>
                  <w:rFonts w:ascii="微软雅黑" w:eastAsia="微软雅黑" w:hAnsi="微软雅黑" w:cs="宋体" w:hint="eastAsia"/>
                  <w:color w:val="0000FF"/>
                  <w:kern w:val="0"/>
                  <w:sz w:val="20"/>
                  <w:szCs w:val="20"/>
                </w:rPr>
                <w:t>好</w:t>
              </w:r>
            </w:hyperlink>
            <w:r w:rsidRPr="00AA4678">
              <w:rPr>
                <w:rFonts w:ascii="宋体" w:eastAsia="宋体" w:hAnsi="宋体" w:cs="宋体"/>
                <w:kern w:val="0"/>
                <w:sz w:val="24"/>
                <w:szCs w:val="24"/>
              </w:rPr>
              <w:t xml:space="preserve"> </w:t>
            </w:r>
            <w:hyperlink r:id="rId8" w:history="1">
              <w:r w:rsidRPr="00AA4678">
                <w:rPr>
                  <w:rFonts w:ascii="微软雅黑" w:eastAsia="微软雅黑" w:hAnsi="微软雅黑" w:cs="宋体" w:hint="eastAsia"/>
                  <w:color w:val="0000FF"/>
                  <w:kern w:val="0"/>
                  <w:sz w:val="20"/>
                  <w:szCs w:val="20"/>
                </w:rPr>
                <w:t>中</w:t>
              </w:r>
            </w:hyperlink>
            <w:r w:rsidRPr="00AA4678">
              <w:rPr>
                <w:rFonts w:ascii="宋体" w:eastAsia="宋体" w:hAnsi="宋体" w:cs="宋体"/>
                <w:kern w:val="0"/>
                <w:sz w:val="24"/>
                <w:szCs w:val="24"/>
              </w:rPr>
              <w:t xml:space="preserve"> </w:t>
            </w:r>
            <w:hyperlink r:id="rId9" w:history="1">
              <w:r w:rsidRPr="00AA4678">
                <w:rPr>
                  <w:rFonts w:ascii="微软雅黑" w:eastAsia="微软雅黑" w:hAnsi="微软雅黑" w:cs="宋体" w:hint="eastAsia"/>
                  <w:color w:val="0000FF"/>
                  <w:kern w:val="0"/>
                  <w:sz w:val="20"/>
                  <w:szCs w:val="20"/>
                </w:rPr>
                <w:t>差</w:t>
              </w:r>
            </w:hyperlink>
            <w:r w:rsidRPr="00AA4678">
              <w:rPr>
                <w:rFonts w:ascii="宋体" w:eastAsia="宋体" w:hAnsi="宋体" w:cs="宋体"/>
                <w:kern w:val="0"/>
                <w:sz w:val="24"/>
                <w:szCs w:val="24"/>
              </w:rPr>
              <w:t xml:space="preserve">      </w:t>
            </w:r>
          </w:p>
        </w:tc>
        <w:tc>
          <w:tcPr>
            <w:tcW w:w="0" w:type="auto"/>
            <w:vAlign w:val="center"/>
            <w:hideMark/>
          </w:tcPr>
          <w:p w:rsidR="00AA4678" w:rsidRPr="00AA4678" w:rsidRDefault="00AA4678" w:rsidP="00AA4678">
            <w:pPr>
              <w:widowControl/>
              <w:spacing w:after="0"/>
              <w:jc w:val="left"/>
              <w:rPr>
                <w:rFonts w:ascii="Times New Roman" w:eastAsia="Times New Roman" w:hAnsi="Times New Roman" w:cs="Times New Roman"/>
                <w:kern w:val="0"/>
                <w:sz w:val="20"/>
                <w:szCs w:val="20"/>
              </w:rPr>
            </w:pPr>
          </w:p>
        </w:tc>
      </w:tr>
      <w:tr w:rsidR="00AA4678" w:rsidRPr="00AA4678" w:rsidTr="00AA4678">
        <w:trPr>
          <w:trHeight w:val="192"/>
          <w:tblCellSpacing w:w="0" w:type="dxa"/>
          <w:jc w:val="center"/>
        </w:trPr>
        <w:tc>
          <w:tcPr>
            <w:tcW w:w="0" w:type="auto"/>
            <w:gridSpan w:val="2"/>
            <w:shd w:val="clear" w:color="auto" w:fill="FFFFFF"/>
            <w:vAlign w:val="center"/>
            <w:hideMark/>
          </w:tcPr>
          <w:p w:rsidR="00AA4678" w:rsidRPr="00AA4678" w:rsidRDefault="00AA4678" w:rsidP="00AA4678">
            <w:pPr>
              <w:widowControl/>
              <w:spacing w:after="0"/>
              <w:jc w:val="left"/>
              <w:rPr>
                <w:rFonts w:ascii="宋体" w:eastAsia="宋体" w:hAnsi="宋体" w:cs="宋体"/>
                <w:kern w:val="0"/>
                <w:sz w:val="20"/>
                <w:szCs w:val="24"/>
              </w:rPr>
            </w:pPr>
          </w:p>
        </w:tc>
      </w:tr>
      <w:tr w:rsidR="00AA4678" w:rsidRPr="00AA4678" w:rsidTr="00AA4678">
        <w:trPr>
          <w:tblCellSpacing w:w="0" w:type="dxa"/>
          <w:jc w:val="center"/>
        </w:trPr>
        <w:tc>
          <w:tcPr>
            <w:tcW w:w="0" w:type="auto"/>
            <w:gridSpan w:val="2"/>
            <w:shd w:val="clear" w:color="auto" w:fill="FFFFFF"/>
            <w:hideMark/>
          </w:tcPr>
          <w:tbl>
            <w:tblPr>
              <w:tblW w:w="4750" w:type="pct"/>
              <w:jc w:val="center"/>
              <w:tblCellSpacing w:w="6" w:type="dxa"/>
              <w:tblCellMar>
                <w:top w:w="36" w:type="dxa"/>
                <w:left w:w="36" w:type="dxa"/>
                <w:bottom w:w="36" w:type="dxa"/>
                <w:right w:w="36" w:type="dxa"/>
              </w:tblCellMar>
              <w:tblLook w:val="04A0" w:firstRow="1" w:lastRow="0" w:firstColumn="1" w:lastColumn="0" w:noHBand="0" w:noVBand="1"/>
            </w:tblPr>
            <w:tblGrid>
              <w:gridCol w:w="7891"/>
            </w:tblGrid>
            <w:tr w:rsidR="00AA4678" w:rsidRPr="00AA4678">
              <w:trPr>
                <w:tblCellSpacing w:w="6" w:type="dxa"/>
                <w:jc w:val="center"/>
              </w:trPr>
              <w:tc>
                <w:tcPr>
                  <w:tcW w:w="0" w:type="auto"/>
                  <w:shd w:val="clear" w:color="auto" w:fill="FFFFFF"/>
                  <w:hideMark/>
                </w:tcPr>
                <w:p w:rsidR="00AA4678" w:rsidRPr="00AA4678" w:rsidRDefault="00AA4678" w:rsidP="00AA4678">
                  <w:pPr>
                    <w:widowControl/>
                    <w:spacing w:after="0"/>
                    <w:jc w:val="left"/>
                    <w:rPr>
                      <w:rFonts w:ascii="宋体" w:eastAsia="宋体" w:hAnsi="宋体" w:cs="宋体"/>
                      <w:kern w:val="0"/>
                      <w:sz w:val="24"/>
                      <w:szCs w:val="24"/>
                    </w:rPr>
                  </w:pPr>
                  <w:r w:rsidRPr="00AA4678">
                    <w:rPr>
                      <w:rFonts w:ascii="宋体" w:eastAsia="宋体" w:hAnsi="宋体" w:cs="宋体"/>
                      <w:kern w:val="0"/>
                      <w:sz w:val="24"/>
                      <w:szCs w:val="24"/>
                    </w:rPr>
                    <w:t>Apache Arrow是Apache基金会下一个全新的开源项目，同时也是顶级项目。它的目的是作为一个跨平台的数据层来加快大数据分析项目的运行速度。</w:t>
                  </w:r>
                  <w:r w:rsidRPr="00AA4678">
                    <w:rPr>
                      <w:rFonts w:ascii="宋体" w:eastAsia="宋体" w:hAnsi="宋体" w:cs="宋体"/>
                      <w:kern w:val="0"/>
                      <w:sz w:val="24"/>
                      <w:szCs w:val="24"/>
                    </w:rPr>
                    <w:br/>
                  </w:r>
                  <w:r w:rsidRPr="00AA4678">
                    <w:rPr>
                      <w:rFonts w:ascii="宋体" w:eastAsia="宋体" w:hAnsi="宋体" w:cs="宋体"/>
                      <w:kern w:val="0"/>
                      <w:sz w:val="24"/>
                      <w:szCs w:val="24"/>
                    </w:rPr>
                    <w:br/>
                    <w:t>用户在应用大数据分析时除了将</w:t>
                  </w:r>
                  <w:proofErr w:type="spellStart"/>
                  <w:r w:rsidRPr="00AA4678">
                    <w:rPr>
                      <w:rFonts w:ascii="宋体" w:eastAsia="宋体" w:hAnsi="宋体" w:cs="宋体"/>
                      <w:kern w:val="0"/>
                      <w:sz w:val="24"/>
                      <w:szCs w:val="24"/>
                    </w:rPr>
                    <w:t>Hadoop</w:t>
                  </w:r>
                  <w:proofErr w:type="spellEnd"/>
                  <w:r w:rsidRPr="00AA4678">
                    <w:rPr>
                      <w:rFonts w:ascii="宋体" w:eastAsia="宋体" w:hAnsi="宋体" w:cs="宋体"/>
                      <w:kern w:val="0"/>
                      <w:sz w:val="24"/>
                      <w:szCs w:val="24"/>
                    </w:rPr>
                    <w:t>等大数据平台作为一个经济的存储和批处理平台之外也很看重分析系统的扩展性和性能。过去几年开源社区已经发布了很多工具来完善大数据分析的生态系统，这些工具涵盖了数据分析的各个层面，比如列式存储格式(Parquet/ORC)、内存计算层(Drill、Spark、Impala和Storm)以及强大的API接口(Python和R语言)。Arrow则是最新加入的一员，它提供了一种跨平台</w:t>
                  </w:r>
                  <w:proofErr w:type="gramStart"/>
                  <w:r w:rsidRPr="00AA4678">
                    <w:rPr>
                      <w:rFonts w:ascii="宋体" w:eastAsia="宋体" w:hAnsi="宋体" w:cs="宋体"/>
                      <w:kern w:val="0"/>
                      <w:sz w:val="24"/>
                      <w:szCs w:val="24"/>
                    </w:rPr>
                    <w:t>跨应用</w:t>
                  </w:r>
                  <w:proofErr w:type="gramEnd"/>
                  <w:r w:rsidRPr="00AA4678">
                    <w:rPr>
                      <w:rFonts w:ascii="宋体" w:eastAsia="宋体" w:hAnsi="宋体" w:cs="宋体"/>
                      <w:kern w:val="0"/>
                      <w:sz w:val="24"/>
                      <w:szCs w:val="24"/>
                    </w:rPr>
                    <w:t>的内存数据交换格式。</w:t>
                  </w:r>
                  <w:r w:rsidRPr="00AA4678">
                    <w:rPr>
                      <w:rFonts w:ascii="宋体" w:eastAsia="宋体" w:hAnsi="宋体" w:cs="宋体"/>
                      <w:kern w:val="0"/>
                      <w:sz w:val="24"/>
                      <w:szCs w:val="24"/>
                    </w:rPr>
                    <w:br/>
                  </w:r>
                  <w:r w:rsidRPr="00AA4678">
                    <w:rPr>
                      <w:rFonts w:ascii="宋体" w:eastAsia="宋体" w:hAnsi="宋体" w:cs="宋体"/>
                      <w:kern w:val="0"/>
                      <w:sz w:val="24"/>
                      <w:szCs w:val="24"/>
                    </w:rPr>
                    <w:br/>
                    <w:t>提高大数据分析性能的一个重要手段是对列式数据的设计和处理。列式数据处理借助向量计算和SIMD使我们可以充分挖掘硬件的潜力。Apache Drill这一大数据查询引擎无论是在硬盘还是在内存中数据都是以列的方式存在的，而Arrow就是由Drill中Value Vector这一数据格式发展而来。除了列式数据，Apache Arrow也支持关系型和动态数据集，这使它成了处理物联网等数据时的理想格式选择。</w:t>
                  </w:r>
                  <w:r w:rsidRPr="00AA4678">
                    <w:rPr>
                      <w:rFonts w:ascii="宋体" w:eastAsia="宋体" w:hAnsi="宋体" w:cs="宋体"/>
                      <w:kern w:val="0"/>
                      <w:sz w:val="24"/>
                      <w:szCs w:val="24"/>
                    </w:rPr>
                    <w:br/>
                  </w:r>
                  <w:r w:rsidRPr="00AA4678">
                    <w:rPr>
                      <w:rFonts w:ascii="宋体" w:eastAsia="宋体" w:hAnsi="宋体" w:cs="宋体"/>
                      <w:kern w:val="0"/>
                      <w:sz w:val="24"/>
                      <w:szCs w:val="24"/>
                    </w:rPr>
                    <w:br/>
                    <w:t>Apache Arrow为大数据生态系统带来了可能性是无穷的。有Apache Arrow</w:t>
                  </w:r>
                  <w:proofErr w:type="gramStart"/>
                  <w:r w:rsidRPr="00AA4678">
                    <w:rPr>
                      <w:rFonts w:ascii="宋体" w:eastAsia="宋体" w:hAnsi="宋体" w:cs="宋体"/>
                      <w:kern w:val="0"/>
                      <w:sz w:val="24"/>
                      <w:szCs w:val="24"/>
                    </w:rPr>
                    <w:t>做为</w:t>
                  </w:r>
                  <w:proofErr w:type="gramEnd"/>
                  <w:r w:rsidRPr="00AA4678">
                    <w:rPr>
                      <w:rFonts w:ascii="宋体" w:eastAsia="宋体" w:hAnsi="宋体" w:cs="宋体"/>
                      <w:kern w:val="0"/>
                      <w:sz w:val="24"/>
                      <w:szCs w:val="24"/>
                    </w:rPr>
                    <w:t>今后的标准数据交换格式，各个数据分析的系统和应用之间的交互性可以说是上了一个新的台阶。过去大部分的CPU周期都花在了数据的序列化和反序列化上，现在我们则能够实现不同系统之间数据的无缝共享。这意味着用户在将不同的系统结合使用时再也不用为数据格式多花心思了。</w:t>
                  </w:r>
                  <w:r w:rsidRPr="00AA4678">
                    <w:rPr>
                      <w:rFonts w:ascii="宋体" w:eastAsia="宋体" w:hAnsi="宋体" w:cs="宋体"/>
                      <w:kern w:val="0"/>
                      <w:sz w:val="24"/>
                      <w:szCs w:val="24"/>
                    </w:rPr>
                    <w:br/>
                  </w:r>
                  <w:r w:rsidRPr="00AA4678">
                    <w:rPr>
                      <w:rFonts w:ascii="宋体" w:eastAsia="宋体" w:hAnsi="宋体" w:cs="宋体"/>
                      <w:kern w:val="0"/>
                      <w:sz w:val="24"/>
                      <w:szCs w:val="24"/>
                    </w:rPr>
                    <w:br/>
                  </w:r>
                  <w:r w:rsidRPr="00AA4678">
                    <w:rPr>
                      <w:rFonts w:ascii="宋体" w:eastAsia="宋体" w:hAnsi="宋体" w:cs="宋体"/>
                      <w:b/>
                      <w:bCs/>
                      <w:kern w:val="0"/>
                      <w:sz w:val="24"/>
                      <w:szCs w:val="24"/>
                    </w:rPr>
                    <w:t>Performance Advantage of Columnar In-Memory</w:t>
                  </w:r>
                </w:p>
                <w:p w:rsidR="00AA4678" w:rsidRPr="00AA4678" w:rsidRDefault="00AA4678" w:rsidP="00AA467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1865" cy="3411220"/>
                        <wp:effectExtent l="0" t="0" r="635" b="0"/>
                        <wp:docPr id="3" name="图片 3" descr="http://www.uml.org.cn/itnews/images/20160302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itnews/images/2016030208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411220"/>
                                </a:xfrm>
                                <a:prstGeom prst="rect">
                                  <a:avLst/>
                                </a:prstGeom>
                                <a:noFill/>
                                <a:ln>
                                  <a:noFill/>
                                </a:ln>
                              </pic:spPr>
                            </pic:pic>
                          </a:graphicData>
                        </a:graphic>
                      </wp:inline>
                    </w:drawing>
                  </w:r>
                </w:p>
                <w:p w:rsidR="00AA4678" w:rsidRPr="00AA4678" w:rsidRDefault="00AA4678" w:rsidP="00AA4678">
                  <w:pPr>
                    <w:widowControl/>
                    <w:spacing w:after="0"/>
                    <w:jc w:val="left"/>
                    <w:rPr>
                      <w:rFonts w:ascii="宋体" w:eastAsia="宋体" w:hAnsi="宋体" w:cs="宋体"/>
                      <w:kern w:val="0"/>
                      <w:sz w:val="24"/>
                      <w:szCs w:val="24"/>
                    </w:rPr>
                  </w:pPr>
                  <w:r w:rsidRPr="00AA4678">
                    <w:rPr>
                      <w:rFonts w:ascii="宋体" w:eastAsia="宋体" w:hAnsi="宋体" w:cs="宋体"/>
                      <w:kern w:val="0"/>
                      <w:sz w:val="24"/>
                      <w:szCs w:val="24"/>
                    </w:rPr>
                    <w:br/>
                  </w:r>
                  <w:r w:rsidRPr="00AA4678">
                    <w:rPr>
                      <w:rFonts w:ascii="宋体" w:eastAsia="宋体" w:hAnsi="宋体" w:cs="宋体"/>
                      <w:b/>
                      <w:bCs/>
                      <w:kern w:val="0"/>
                      <w:sz w:val="24"/>
                      <w:szCs w:val="24"/>
                    </w:rPr>
                    <w:t>Advantages of a Common Data Layer</w:t>
                  </w:r>
                </w:p>
                <w:p w:rsidR="00AA4678" w:rsidRPr="00AA4678" w:rsidRDefault="00AA4678" w:rsidP="00AA467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1865" cy="2869565"/>
                        <wp:effectExtent l="0" t="0" r="0" b="0"/>
                        <wp:docPr id="2" name="图片 2" descr="http://www.uml.org.cn/itnews/images/20160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itnews/images/2016030208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869565"/>
                                </a:xfrm>
                                <a:prstGeom prst="rect">
                                  <a:avLst/>
                                </a:prstGeom>
                                <a:noFill/>
                                <a:ln>
                                  <a:noFill/>
                                </a:ln>
                              </pic:spPr>
                            </pic:pic>
                          </a:graphicData>
                        </a:graphic>
                      </wp:inline>
                    </w:drawing>
                  </w:r>
                </w:p>
                <w:p w:rsidR="00AA4678" w:rsidRPr="00AA4678" w:rsidRDefault="00AA4678" w:rsidP="00AA4678">
                  <w:pPr>
                    <w:widowControl/>
                    <w:numPr>
                      <w:ilvl w:val="0"/>
                      <w:numId w:val="1"/>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每个系统都有自己内部的内存格式</w:t>
                  </w:r>
                </w:p>
                <w:p w:rsidR="00AA4678" w:rsidRPr="00AA4678" w:rsidRDefault="00AA4678" w:rsidP="00AA4678">
                  <w:pPr>
                    <w:widowControl/>
                    <w:numPr>
                      <w:ilvl w:val="0"/>
                      <w:numId w:val="1"/>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70-80%的CPU浪费在序列化和反序列化过程</w:t>
                  </w:r>
                </w:p>
                <w:p w:rsidR="00AA4678" w:rsidRPr="00AA4678" w:rsidRDefault="00AA4678" w:rsidP="00AA4678">
                  <w:pPr>
                    <w:widowControl/>
                    <w:numPr>
                      <w:ilvl w:val="0"/>
                      <w:numId w:val="1"/>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类似功能在多个项目中实现，没有一个标准</w:t>
                  </w:r>
                </w:p>
                <w:p w:rsidR="00AA4678" w:rsidRPr="00AA4678" w:rsidRDefault="00AA4678" w:rsidP="00AA467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1865" cy="3088005"/>
                        <wp:effectExtent l="0" t="0" r="0" b="0"/>
                        <wp:docPr id="1" name="图片 1" descr="http://www.uml.org.cn/itnews/images/20160302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itnews/images/2016030208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088005"/>
                                </a:xfrm>
                                <a:prstGeom prst="rect">
                                  <a:avLst/>
                                </a:prstGeom>
                                <a:noFill/>
                                <a:ln>
                                  <a:noFill/>
                                </a:ln>
                              </pic:spPr>
                            </pic:pic>
                          </a:graphicData>
                        </a:graphic>
                      </wp:inline>
                    </w:drawing>
                  </w:r>
                </w:p>
                <w:p w:rsidR="00AA4678" w:rsidRPr="00AA4678" w:rsidRDefault="00AA4678" w:rsidP="00AA4678">
                  <w:pPr>
                    <w:widowControl/>
                    <w:numPr>
                      <w:ilvl w:val="0"/>
                      <w:numId w:val="2"/>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所有系统都使用同一个内存格式</w:t>
                  </w:r>
                </w:p>
                <w:p w:rsidR="00AA4678" w:rsidRPr="00AA4678" w:rsidRDefault="00AA4678" w:rsidP="00AA4678">
                  <w:pPr>
                    <w:widowControl/>
                    <w:numPr>
                      <w:ilvl w:val="0"/>
                      <w:numId w:val="2"/>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避免了系统间通信的开销</w:t>
                  </w:r>
                </w:p>
                <w:p w:rsidR="00AA4678" w:rsidRPr="00AA4678" w:rsidRDefault="00AA4678" w:rsidP="00AA4678">
                  <w:pPr>
                    <w:widowControl/>
                    <w:numPr>
                      <w:ilvl w:val="0"/>
                      <w:numId w:val="2"/>
                    </w:numPr>
                    <w:spacing w:before="100" w:beforeAutospacing="1" w:after="100" w:afterAutospacing="1"/>
                    <w:jc w:val="left"/>
                    <w:rPr>
                      <w:rFonts w:ascii="宋体" w:eastAsia="宋体" w:hAnsi="宋体" w:cs="宋体"/>
                      <w:kern w:val="0"/>
                      <w:sz w:val="24"/>
                      <w:szCs w:val="24"/>
                    </w:rPr>
                  </w:pPr>
                  <w:r w:rsidRPr="00AA4678">
                    <w:rPr>
                      <w:rFonts w:ascii="宋体" w:eastAsia="宋体" w:hAnsi="宋体" w:cs="宋体"/>
                      <w:kern w:val="0"/>
                      <w:sz w:val="24"/>
                      <w:szCs w:val="24"/>
                    </w:rPr>
                    <w:t>项目间可以共享功能（比如Parquet-to-Arrow reader）</w:t>
                  </w:r>
                </w:p>
              </w:tc>
            </w:tr>
          </w:tbl>
          <w:p w:rsidR="00AA4678" w:rsidRPr="00AA4678" w:rsidRDefault="00AA4678" w:rsidP="00AA4678">
            <w:pPr>
              <w:widowControl/>
              <w:spacing w:after="0"/>
              <w:jc w:val="left"/>
              <w:rPr>
                <w:rFonts w:ascii="宋体" w:eastAsia="宋体" w:hAnsi="宋体" w:cs="宋体"/>
                <w:kern w:val="0"/>
                <w:sz w:val="24"/>
                <w:szCs w:val="24"/>
              </w:rPr>
            </w:pPr>
          </w:p>
        </w:tc>
      </w:tr>
    </w:tbl>
    <w:p w:rsidR="00FE5B57" w:rsidRDefault="00AA4678"/>
    <w:sectPr w:rsidR="00FE5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18A"/>
    <w:multiLevelType w:val="multilevel"/>
    <w:tmpl w:val="6CB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355D6"/>
    <w:multiLevelType w:val="multilevel"/>
    <w:tmpl w:val="7B6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3C"/>
    <w:rsid w:val="000E23D1"/>
    <w:rsid w:val="0052113D"/>
    <w:rsid w:val="00861466"/>
    <w:rsid w:val="00A70FB4"/>
    <w:rsid w:val="00A90A3C"/>
    <w:rsid w:val="00AA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wkpf">
    <w:name w:val="wkpf"/>
    <w:basedOn w:val="a0"/>
    <w:rsid w:val="00AA4678"/>
  </w:style>
  <w:style w:type="character" w:styleId="a3">
    <w:name w:val="Hyperlink"/>
    <w:basedOn w:val="a0"/>
    <w:uiPriority w:val="99"/>
    <w:semiHidden/>
    <w:unhideWhenUsed/>
    <w:rsid w:val="00AA4678"/>
    <w:rPr>
      <w:color w:val="0000FF"/>
      <w:u w:val="single"/>
    </w:rPr>
  </w:style>
  <w:style w:type="character" w:styleId="a4">
    <w:name w:val="Strong"/>
    <w:basedOn w:val="a0"/>
    <w:uiPriority w:val="22"/>
    <w:qFormat/>
    <w:rsid w:val="00AA4678"/>
    <w:rPr>
      <w:b/>
      <w:bCs/>
    </w:rPr>
  </w:style>
  <w:style w:type="paragraph" w:styleId="a5">
    <w:name w:val="Normal (Web)"/>
    <w:basedOn w:val="a"/>
    <w:uiPriority w:val="99"/>
    <w:semiHidden/>
    <w:unhideWhenUsed/>
    <w:rsid w:val="00AA467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A4678"/>
    <w:pPr>
      <w:spacing w:after="0"/>
    </w:pPr>
    <w:rPr>
      <w:sz w:val="18"/>
      <w:szCs w:val="18"/>
    </w:rPr>
  </w:style>
  <w:style w:type="character" w:customStyle="1" w:styleId="Char">
    <w:name w:val="批注框文本 Char"/>
    <w:basedOn w:val="a0"/>
    <w:link w:val="a6"/>
    <w:uiPriority w:val="99"/>
    <w:semiHidden/>
    <w:rsid w:val="00AA46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wkpf">
    <w:name w:val="wkpf"/>
    <w:basedOn w:val="a0"/>
    <w:rsid w:val="00AA4678"/>
  </w:style>
  <w:style w:type="character" w:styleId="a3">
    <w:name w:val="Hyperlink"/>
    <w:basedOn w:val="a0"/>
    <w:uiPriority w:val="99"/>
    <w:semiHidden/>
    <w:unhideWhenUsed/>
    <w:rsid w:val="00AA4678"/>
    <w:rPr>
      <w:color w:val="0000FF"/>
      <w:u w:val="single"/>
    </w:rPr>
  </w:style>
  <w:style w:type="character" w:styleId="a4">
    <w:name w:val="Strong"/>
    <w:basedOn w:val="a0"/>
    <w:uiPriority w:val="22"/>
    <w:qFormat/>
    <w:rsid w:val="00AA4678"/>
    <w:rPr>
      <w:b/>
      <w:bCs/>
    </w:rPr>
  </w:style>
  <w:style w:type="paragraph" w:styleId="a5">
    <w:name w:val="Normal (Web)"/>
    <w:basedOn w:val="a"/>
    <w:uiPriority w:val="99"/>
    <w:semiHidden/>
    <w:unhideWhenUsed/>
    <w:rsid w:val="00AA467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A4678"/>
    <w:pPr>
      <w:spacing w:after="0"/>
    </w:pPr>
    <w:rPr>
      <w:sz w:val="18"/>
      <w:szCs w:val="18"/>
    </w:rPr>
  </w:style>
  <w:style w:type="character" w:customStyle="1" w:styleId="Char">
    <w:name w:val="批注框文本 Char"/>
    <w:basedOn w:val="a0"/>
    <w:link w:val="a6"/>
    <w:uiPriority w:val="99"/>
    <w:semiHidden/>
    <w:rsid w:val="00AA46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1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cn/inc/newspf.asp?Rating=2&amp;act=show&amp;id=173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ml.org.cn/inc/newspf.asp?Rating=3&amp;act=show&amp;id=173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uml.org.cn/inc/newspf.asp?Rating=1&amp;act=show&amp;id=173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Words>
  <Characters>1035</Characters>
  <Application>Microsoft Office Word</Application>
  <DocSecurity>0</DocSecurity>
  <Lines>8</Lines>
  <Paragraphs>2</Paragraphs>
  <ScaleCrop>false</ScaleCrop>
  <Company>china</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2016-12-02T08:21:00Z</dcterms:created>
  <dcterms:modified xsi:type="dcterms:W3CDTF">2016-12-02T08:21:00Z</dcterms:modified>
</cp:coreProperties>
</file>