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ind w:leftChars="200"/>
      </w:pPr>
      <w:r>
        <w:rPr>
          <w:b/>
          <w:sz w:val="21"/>
          <w:szCs w:val="21"/>
          <w:shd w:val="clear" w:color="auto" w:fill="C9C9C9"/>
        </w:rPr>
        <w:t xml:space="preserve">2.7.2.12 </w:t>
      </w:r>
      <w:r>
        <w:rPr>
          <w:b/>
          <w:sz w:val="21"/>
          <w:szCs w:val="21"/>
        </w:rPr>
        <w:t xml:space="preserve">方法讲解｜平均性质（大招12·平均性质）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2.7.2.13 </w:t>
      </w:r>
      <w:r>
        <w:rPr>
          <w:b/>
          <w:sz w:val="21"/>
          <w:szCs w:val="21"/>
        </w:rPr>
        <w:t xml:space="preserve">方法讲解｜抛物线结论荟萃（大招28·抛物线结论荟萃）</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5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（位于106–141页·共206页）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