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bCs/>
          <w:shd w:val="clear" w:color="auto" w:fill="A6A6A6"/>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 xml:space="preserve">　【难度】中档</w:t>
      </w:r>
      <w:r>
        <w:rPr>
          <w:b/>
        </w:rPr>
        <w:t xml:space="preserve">　【知识点】多面体与球体内切外接问题</w:t>
      </w:r>
    </w:p>
    <w:p w:rsidR="00625A70" w:rsidRDefault="00A87FEB" w:rsidP="003614B4">
      <w:pPr>
        <w:snapToGrid w:val="0"/>
        <w:spacing w:line="288" w:lineRule="auto" w:before="0" w:after="0"/>
        <w:jc w:val="left"/>
      </w:pPr>
      <w:r>
        <w:t>【答案思路】补成正方体确定外接球，再求球心到截平面的距离，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r>
        <w:t>先求截面形状改变的临界值，</w:t>
      </w: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7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·本部第56–115页（共115页）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