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/>
    <w:p/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成等差数列，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∴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舍去），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的偶次项系数和为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</w:p>
    <w:p>
      <w:pPr>
        <w:spacing w:before="0" w:after="0" w:line="300" w:lineRule="auto"/>
        <w:jc w:val="left"/>
      </w:pP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，∴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因为</w:t>
      </w:r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的系数是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时，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w:r>
        <w:rPr>
          <w:rFonts w:ascii="Times New Roman" w:hAnsi="Times New Roman" w:eastAsia="宋体"/>
          <w:sz w:val="21"/>
          <w:szCs w:val="21"/>
        </w:rPr>
        <w:t>，因此</w:t>
      </w:r>
      <w:r>
        <w:rPr>
          <w:rFonts w:ascii="Times New Roman" w:hAnsi="Times New Roman" w:eastAsia="宋体"/>
          <w:sz w:val="21"/>
          <w:szCs w:val="21"/>
        </w:rPr>
        <w:t>除以7所得的余数6.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二、高度重复删除（48题）</w:t>
      </w:r>
    </w:p>
    <w:p/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第5章·转投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