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人教B版选必1·使用说明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视觉锚图例（式样＝本册现行版式真实呈现）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  <w:shd w:val="clear" w:color="auto" w:fill="C9C9C9"/>
        </w:rPr>
        <w:t xml:space="preserve">2.4-13．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（简单·保60%·卡壳看答案）</w:t>
      </w:r>
      <w:r>
        <w:rPr>
          <w:rFonts w:ascii="Times New Roman" w:hAnsi="Times New Roman" w:eastAsia="宋体" w:cs="Times New Roman"/>
          <w:sz w:val="18"/>
          <w:szCs w:val="18"/>
        </w:rPr>
        <w:t xml:space="preserve">　题号块（N6·层级制）：「节号-序号．（档位·提分线·卡壳看答案）」——底纹盖整个「节号-序号．」、括注不挂底纹、整块加粗；序号＝节内连续；题间不留空行，靠它分隔。衔接件全部必会——两段式「节号-序号．（衔接必会·卡壳看答案）」。</w:t>
      </w:r>
    </w:p>
    <w:p>
      <w:pPr>
        <w:shd w:val="clear" w:color="auto" w:fill="ADC2DA"/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 xml:space="preserve">1.1 空间向量及其运算</w:t>
      </w:r>
      <w:r>
        <w:rPr>
          <w:rFonts w:ascii="Times New Roman" w:hAnsi="Times New Roman" w:eastAsia="宋体" w:cs="Times New Roman"/>
          <w:sz w:val="18"/>
          <w:szCs w:val="18"/>
        </w:rPr>
        <w:t xml:space="preserve">　章标题与节标题：整行铺底#ADC2DA＋加粗＋顶格（章三号／节四号），章标题另加底边框通栏细线（N4/N5）。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1.1.1.1 节名：题型名</w:t>
      </w:r>
      <w:r>
        <w:rPr>
          <w:rFonts w:ascii="Times New Roman" w:hAnsi="Times New Roman" w:eastAsia="宋体" w:cs="Times New Roman"/>
          <w:sz w:val="18"/>
          <w:szCs w:val="18"/>
        </w:rPr>
        <w:t xml:space="preserve">　讲部标题与题型标题：整行铺底#C6D4E3＋加粗＋顶格（均小四，层级靠父链续层序号与底纹色表达）（N4/N5）。</w:t>
      </w:r>
    </w:p>
    <w:p>
      <w:pPr>
        <w:shd w:val="clear" w:color="auto" w:fill="F2F2F2"/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24"/>
          <w:szCs w:val="24"/>
          <w:shd w:val="clear" w:color="auto" w:fill="C9C9C9"/>
        </w:rPr>
        <w:t xml:space="preserve">【答案】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1F4E79"/>
          <w:sz w:val="24"/>
          <w:szCs w:val="24"/>
          <w:shd w:val="clear" w:color="auto" w:fill="C9C9C9"/>
        </w:rPr>
        <w:t xml:space="preserve">C</w:t>
      </w:r>
      <w:r>
        <w:rPr>
          <w:rFonts w:ascii="Times New Roman" w:hAnsi="Times New Roman" w:eastAsia="宋体" w:cs="Times New Roman"/>
          <w:sz w:val="24"/>
          <w:szCs w:val="24"/>
        </w:rPr>
        <w:t xml:space="preserve">　</w:t>
      </w:r>
      <w:r>
        <w:rPr>
          <w:rFonts w:ascii="Times New Roman" w:hAnsi="Times New Roman" w:eastAsia="宋体" w:cs="Times New Roman"/>
          <w:color w:val="1F4E79"/>
          <w:sz w:val="24"/>
          <w:szCs w:val="24"/>
        </w:rPr>
        <w:t xml:space="preserve">x²＋y²＝4</w:t>
      </w:r>
      <w:r>
        <w:rPr>
          <w:rFonts w:ascii="Times New Roman" w:hAnsi="Times New Roman" w:eastAsia="宋体" w:cs="Times New Roman"/>
          <w:sz w:val="24"/>
          <w:szCs w:val="24"/>
        </w:rPr>
        <w:t xml:space="preserve">　</w:t>
      </w:r>
      <w:r>
        <w:rPr>
          <w:rFonts w:ascii="Times New Roman" w:hAnsi="Times New Roman" w:eastAsia="宋体" w:cs="Times New Roman"/>
          <w:sz w:val="18"/>
          <w:szCs w:val="18"/>
        </w:rPr>
        <w:t xml:space="preserve">　答案值分型（N7·A′改制）：【答案】值按形态分型——文字型（如「C」）＝灰底C9C9C9＋深蓝#1F4E79；公式型（值含公式，如「x²＋y²＝4」）＝不挂灰底、纯深蓝；混合型从公式型；需背内容同款；【知识点】值黑字不挂灰。芯片（【答案】等）只盖【×】、不加粗、黑字。</w:t>
      </w:r>
    </w:p>
    <w:p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定理框（N23）：定理/公式级需背条目整段加细框（本段即式样），框内需背内容挂灰底＋深蓝——如「</w:t>
      </w:r>
      <w:r>
        <w:rPr>
          <w:rFonts w:ascii="Times New Roman" w:hAnsi="Times New Roman" w:eastAsia="宋体" w:cs="Times New Roman"/>
          <w:color w:val="1F4E79"/>
          <w:sz w:val="18"/>
          <w:szCs w:val="18"/>
          <w:shd w:val="clear" w:color="auto" w:fill="C9C9C9"/>
        </w:rPr>
        <w:t xml:space="preserve">充要条件</w:t>
      </w:r>
      <w:r>
        <w:rPr>
          <w:rFonts w:ascii="Times New Roman" w:hAnsi="Times New Roman" w:eastAsia="宋体" w:cs="Times New Roman"/>
          <w:sz w:val="18"/>
          <w:szCs w:val="18"/>
        </w:rPr>
        <w:t xml:space="preserve">」与「</w:t>
      </w:r>
      <w:r>
        <w:rPr>
          <w:rFonts w:ascii="Times New Roman" w:hAnsi="Times New Roman" w:eastAsia="宋体" w:cs="Times New Roman"/>
          <w:color w:val="1F4E79"/>
          <w:sz w:val="18"/>
          <w:szCs w:val="18"/>
          <w:shd w:val="clear" w:color="auto" w:fill="C9C9C9"/>
        </w:rPr>
        <w:t xml:space="preserve">存在唯一</w:t>
      </w:r>
      <w:r>
        <w:rPr>
          <w:rFonts w:ascii="Times New Roman" w:hAnsi="Times New Roman" w:eastAsia="宋体" w:cs="Times New Roman"/>
          <w:sz w:val="18"/>
          <w:szCs w:val="18"/>
        </w:rPr>
        <w:t xml:space="preserve">」二词式样；普通需背词只挂灰底不加框。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【答案】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【知识点】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【分析】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【详解】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【点睛】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【编注】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【大招指引】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【题后反思】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【温馨提醒】</w:t>
      </w:r>
      <w:r>
        <w:rPr>
          <w:rFonts w:ascii="Times New Roman" w:hAnsi="Times New Roman" w:eastAsia="宋体" w:cs="Times New Roman"/>
          <w:sz w:val="18"/>
          <w:szCs w:val="18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</w:rPr>
        <w:t xml:space="preserve">块标签芯片：凡行内【×】栏目标签挂同款灰底、不加粗、只盖标签本身；【编注】开头＝编者补写的思路提示或通法，不是素材原文。</w:t>
      </w:r>
    </w:p>
    <w:p>
      <w:pPr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sz w:val="24"/>
          <w:szCs w:val="24"/>
          <w:shd w:val="clear" w:color="auto" w:fill="C9C9C9"/>
        </w:rPr>
        <w:t xml:space="preserve">2.4-1．</w:t>
      </w:r>
      <w:r>
        <w:rPr>
          <w:rFonts w:ascii="Times New Roman" w:hAnsi="Times New Roman" w:eastAsia="宋体" w:cs="Times New Roman"/>
          <w:sz w:val="24"/>
          <w:szCs w:val="24"/>
        </w:rPr>
        <w:t xml:space="preserve">〔基〕曲线的方程与方程的曲线</w:t>
      </w:r>
      <w:r>
        <w:rPr>
          <w:rFonts w:ascii="Times New Roman" w:hAnsi="Times New Roman" w:eastAsia="宋体" w:cs="Times New Roman"/>
          <w:sz w:val="24"/>
          <w:szCs w:val="24"/>
        </w:rPr>
        <w:t xml:space="preserve">　</w:t>
      </w:r>
      <w:r>
        <w:rPr>
          <w:rFonts w:ascii="Times New Roman" w:hAnsi="Times New Roman" w:eastAsia="宋体" w:cs="Times New Roman"/>
          <w:sz w:val="24"/>
          <w:szCs w:val="24"/>
          <w:shd w:val="clear" w:color="auto" w:fill="C9C9C9"/>
        </w:rPr>
        <w:t xml:space="preserve">（1）</w:t>
      </w:r>
      <w:r>
        <w:rPr>
          <w:rFonts w:ascii="Times New Roman" w:hAnsi="Times New Roman" w:eastAsia="宋体" w:cs="Times New Roman"/>
          <w:sz w:val="24"/>
          <w:szCs w:val="24"/>
        </w:rPr>
        <w:t xml:space="preserve">第一子层内容</w:t>
      </w:r>
      <w:r>
        <w:rPr>
          <w:rFonts w:ascii="Times New Roman" w:hAnsi="Times New Roman" w:eastAsia="宋体" w:cs="Times New Roman"/>
          <w:sz w:val="18"/>
          <w:szCs w:val="18"/>
        </w:rPr>
        <w:t xml:space="preserve">　条目号与条目第一子层：条目号「节号-序号．」（节内连续）与第一子层「（N）」同款灰底、不加粗、只盖序号本身；〔基〕/〔进〕分类标记不挂底纹；第二子层①②③不挂。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〔基〕/〔进〕图例句（知识清单件文内开头标题正下方，逐字照抄——N16）：</w:t>
      </w:r>
      <w:r>
        <w:rPr>
          <w:rFonts w:ascii="Times New Roman" w:hAnsi="Times New Roman" w:eastAsia="宋体" w:cs="Times New Roman"/>
          <w:sz w:val="18"/>
          <w:szCs w:val="18"/>
        </w:rPr>
        <w:t xml:space="preserve">〔基〕＝基础必会：必须学完本条目，才能做本章题目｜〔进〕＝进阶汇总：本章各题型常识/结论的汇总，方便复习，必须先做题再回看</w:t>
      </w:r>
    </w:p>
    <w:p>
      <w:pPr>
        <w:shd w:val="clear" w:color="auto" w:fill="F2F2F2"/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24"/>
          <w:szCs w:val="24"/>
          <w:shd w:val="clear" w:color="auto" w:fill="C9C9C9"/>
        </w:rPr>
        <w:t xml:space="preserve">【详解】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18"/>
          <w:szCs w:val="18"/>
        </w:rPr>
        <w:t xml:space="preserve">解析块浅底（第七类底纹·A′改制）：带题件解析块全部段落（【答案】【知识点】标签行、【分析】【详解】【点睛】等块、【编注】、题型通式句）整段铺#F2F2F2浅底（本段与上行即式样）——浅底即题干与解析的区分线；题干、选项、讲部讲解白底，知识清单全件白底。字号行距归一：全件一律小4号12pt（旧双档制废止）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难度三档与建议学习路径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简单：单一知识点直接套用、一两步即可完成；简单档具备本章高考约60%分数目标所需的基本能力。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中档：常规解法需多步转化，或跨一两个知识点的常规组合；简单＋中档合计具备本章高考约80%分数目标所需的能力。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难：只收特别难的题（含原卷压轴），具备本章冲击满分所需的全部能力；名难实易的题一律放简单或中档。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提分线三形态：简单·保60%／中档·保80%／难·冲100%。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建议学习路径：知识清单 → 衔接件 → 讲练件。先用知识清单过一遍本章知识、背下灰底必背内容；有衔接件的章先刷衔接件补齐初中铺垫；再用讲练件按节推进，先读讲部分再做题，组内由易到难。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答案用法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  <w:shd w:val="clear" w:color="auto" w:fill="C9C9C9"/>
        </w:rPr>
        <w:t xml:space="preserve">每题先独立读题动手，卡壳超过10分钟立即看答案学方法、不死磕；看懂后遮住答案重做一遍，隔天重做仍错的题记入错题记录表。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18"/>
          <w:szCs w:val="18"/>
        </w:rPr>
        <w:t xml:space="preserve">本册件型用法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衔接件（仅与初中有映照的章配备）：不区分难度、全部必会——题号块「节号-序号．（衔接必会·卡壳看答案）」；只考「初中已学＋本章以前」的铺垫题，学本章之前先自测，卡壳处回补后再进本章。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知识清单：本章全部知识条目按教材节归类，条目逐条标〔基〕/〔进〕——基＝教材正文必会，必须先学完才能做本章题；进＝本章各题型常识/结论汇总，先做题再回看。件开头有章知识结构图，先看图定位、再逐条过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讲练件（每章一件，分卷题号连续）：本册核心件；讲部分（知识讲解＋例题）排在对应题型组之前，题目按教材节×题型分组、组内由易到难，题号后即难度档位；节标题行内附题量统计，章首有导航表与全件统计行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错题记录件（每章一件，装订在该章讲练本末尾）：三列空行自填表「题号｜错因｜重做日期」，题号由自己填写，错因可参考示例行「知识不会／方法没想到／计算错／审题错」，重做日期用于跟踪回炉；错题多者复印加页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部分封面件：每个部分（同章同类型件的全部文件）一张，随该部分首件装订，封面上的统计与导读即该部分的总账。装订组合方案（N10）：方案A＝整册装订（配页三件＋各部分各带部分封面）；方案B＝按件型抽订（如全部知识清单、全部讲练）；方案C＝错题集抽订（各章错题记录件按章序）。</w:t>
      </w:r>
    </w:p>
    <w:p>
      <w:pPr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分本用法：本册按「每部分一个物理本」分本装订（本划分见装订单「本」列，与页码体系无关）；单本实测超400页时沿件边界二次拆分、不另配封面与册目录页，靠页眉页脚件标识识别。</w:t>
      </w:r>
    </w:p>
    <w:sectPr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updateFields w:val="true"/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18"/>
        <w:szCs w:val="18"/>
      </w:rPr>
    </w:rPrDefault>
    <w:pPrDefault>
      <w:pPr>
        <w:spacing w:before="0" w:after="0" w:line="280" w:lineRule="atLeast"/>
        <w:jc w:val="left"/>
      </w:pPr>
    </w:pPrDefault>
  </w:docDefaults>
  <w:style w:type="paragraph" w:default="1" w:styleId="Normal">
    <w:name w:val="Normal"/>
    <w:qFormat/>
    <w:pPr>
      <w:spacing w:before="0" w:after="0" w:line="280" w:lineRule="atLeast"/>
      <w:jc w:val="left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/vnd.openxmlformats-officedocument.vml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人教B版选必1·使用说明</dc:title>
  <dc:creator/>
  <cp:lastModifiedBy/>
  <dcterms:created xsi:type="dcterms:W3CDTF">2026-08-31T00:00:00Z</dcterms:created>
  <dcterms:modified xsi:type="dcterms:W3CDTF">2026-08-31T00:00:00Z</dcterms:modified>
</cp:coreProperties>
</file>