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1.2</w:t>
      </w:r>
      <w:r>
        <w:rPr>
          <w:b/>
          <w:sz w:val="32"/>
        </w:rPr>
        <w:t>章</w:t>
      </w:r>
      <w:r>
        <w:rPr>
          <w:b/>
          <w:sz w:val="32"/>
        </w:rPr>
        <w:t xml:space="preserve">  </w:t>
      </w:r>
      <w:r>
        <w:rPr>
          <w:b/>
          <w:sz w:val="32"/>
        </w:rPr>
        <w:t>函数、方程、不等式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sz w:val="32"/>
        </w:rPr>
        <w:t>1.2.4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方程与函数的关系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95300"/>
            <wp:docPr id="100003" name="" descr="@@@dde93a4982b5416b97157b12bb4f2e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53"/>
        <w:gridCol w:w="6439"/>
      </w:tblGrid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初中要求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1体会一次函数与二元一次方程的关系;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2会利用二次函数的图象求一元二次方程的近似解.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高中要求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1 理解方程与函数的关系；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2 理解函数的零点；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3 理解函数的零点存在性定理；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4 会求解二次函数零点分布问题.</w:t>
            </w:r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361950"/>
            <wp:docPr id="100005" name="" descr="@@@c5d022eb17db4a4eb0809423d4976f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1.</w:t>
      </w:r>
      <w:r>
        <w:rPr>
          <w:b/>
          <w:sz w:val="24"/>
        </w:rPr>
        <w:t>函数与方程的关系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（1）函数零点的概念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，我们把方程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的实数根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叫作函数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（2）方程根与函数零点的关系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有实数根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Cambria Math" w:eastAsia="Cambria Math" w:hAnsi="Cambria Math" w:cs="Cambria Math"/>
          <w:sz w:val="21"/>
        </w:rPr>
        <w:t>⇔</w:t>
      </w: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rFonts w:ascii="Cambria Math" w:eastAsia="Cambria Math" w:hAnsi="Cambria Math" w:cs="Cambria Math"/>
          <w:sz w:val="21"/>
        </w:rPr>
        <w:t>⇔</w:t>
      </w: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轴有交点，且交点横坐标为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如 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的实数根是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轴的交点横坐标是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的零点是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，而不是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 xml:space="preserve">.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（3）拓展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有实数根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有交点，且交点横坐标为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解惑 若让你求解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可能知道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，那是否只有一个实数根呢？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而方程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的实数根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的交点横坐标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如图就较容易得到，方程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实数根有3个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266825"/>
            <wp:docPr id="100007" name="" descr="@@@31a3c8c09fea45e2832247bcd705c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2.</w:t>
      </w:r>
      <w:r>
        <w:rPr>
          <w:b/>
          <w:sz w:val="24"/>
        </w:rPr>
        <w:t>函数零点存在性定理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①内容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如果函数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上的图象是连续不断的，且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，那么函数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至少有一个零点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，这个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也就是方程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 作用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零点定理有什么用呢？举个例子，若问你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内是否存在零点呢？方法1当然可以求出函数在全体实数上的零点，看下是否有零点落在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这范围；但用零点存在性定理容易些，因为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，所以存在零点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3.</w:t>
      </w:r>
      <w:r>
        <w:rPr>
          <w:b/>
          <w:sz w:val="24"/>
        </w:rPr>
        <w:t>二次函数零点的分布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二次函数零点的分布，以下是常见模型，在经典例题中作出解析.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 两根与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的大小比较(以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为例)</w:t>
      </w:r>
    </w:p>
    <w:tbl>
      <w:tblPr>
        <w:tblStyle w:val="TableNormal"/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47"/>
        <w:gridCol w:w="2208"/>
        <w:gridCol w:w="2436"/>
        <w:gridCol w:w="2208"/>
      </w:tblGrid>
      <w:tr>
        <w:tblPrEx>
          <w:tblW w:w="8220" w:type="dxa"/>
        </w:tblPrEx>
        <w:trPr>
          <w:cantSplit w:val="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分布情况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两根都小于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k</m:t>
                </m:r>
              </m:oMath>
            </m:oMathPara>
            <w:r>
              <w:rPr>
                <w:sz w:val="21"/>
              </w:rPr>
              <w:t>，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即</w:t>
            </w: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&lt;</m:t>
                </m:r>
                <m:r>
                  <w:rPr>
                    <w:rFonts w:ascii="Cambria Math" w:eastAsia="宋体" w:hAnsi="Cambria Math" w:cs="Cambria Math"/>
                  </w:rPr>
                  <m:t>k</m:t>
                </m:r>
                <m:r>
                  <w:rPr>
                    <w:rFonts w:ascii="Cambria Math" w:eastAsia="宋体" w:hAnsi="Cambria Math" w:cs="Cambria Math"/>
                  </w:rPr>
                  <m:t>,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&lt;</m:t>
                </m:r>
                <m:r>
                  <w:rPr>
                    <w:rFonts w:ascii="Cambria Math" w:eastAsia="宋体" w:hAnsi="Cambria Math" w:cs="Cambria Math"/>
                  </w:rPr>
                  <m:t>k</m:t>
                </m:r>
              </m:oMath>
            </m:oMathPara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两根都大于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k</m:t>
                </m:r>
              </m:oMath>
            </m:oMathPara>
            <w:r>
              <w:rPr>
                <w:sz w:val="21"/>
              </w:rPr>
              <w:t>，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即</w:t>
            </w: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&gt;</m:t>
                </m:r>
                <m:r>
                  <w:rPr>
                    <w:rFonts w:ascii="Cambria Math" w:eastAsia="宋体" w:hAnsi="Cambria Math" w:cs="Cambria Math"/>
                  </w:rPr>
                  <m:t>k</m:t>
                </m:r>
                <m:r>
                  <w:rPr>
                    <w:rFonts w:ascii="Cambria Math" w:eastAsia="宋体" w:hAnsi="Cambria Math" w:cs="Cambria Math"/>
                  </w:rPr>
                  <m:t>,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&gt;</m:t>
                </m:r>
                <m:r>
                  <w:rPr>
                    <w:rFonts w:ascii="Cambria Math" w:eastAsia="宋体" w:hAnsi="Cambria Math" w:cs="Cambria Math"/>
                  </w:rPr>
                  <m:t>k</m:t>
                </m:r>
              </m:oMath>
            </m:oMathPara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一根小于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k</m:t>
                </m:r>
              </m:oMath>
            </m:oMathPara>
            <w:r>
              <w:rPr>
                <w:sz w:val="21"/>
              </w:rPr>
              <w:t>，一根大于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k</m:t>
                </m:r>
              </m:oMath>
            </m:oMathPara>
            <w:r>
              <w:rPr>
                <w:sz w:val="21"/>
              </w:rPr>
              <w:t>，即</w:t>
            </w: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&lt;</m:t>
                </m:r>
                <m:r>
                  <w:rPr>
                    <w:rFonts w:ascii="Cambria Math" w:eastAsia="宋体" w:hAnsi="Cambria Math" w:cs="Cambria Math"/>
                  </w:rPr>
                  <m:t>k</m:t>
                </m:r>
                <m:r>
                  <w:rPr>
                    <w:rFonts w:ascii="Cambria Math" w:eastAsia="宋体" w:hAnsi="Cambria Math" w:cs="Cambria Math"/>
                  </w:rPr>
                  <m:t>&lt;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</w:tr>
      <w:tr>
        <w:tblPrEx>
          <w:tblW w:w="8220" w:type="dxa"/>
        </w:tblPrEx>
        <w:trPr>
          <w:cantSplit w:val="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大致图象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00150" cy="914400"/>
                  <wp:docPr id="100009" name="" descr="@@@f8030b8ea0f647e1a2f575140bd07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352550" cy="971550"/>
                  <wp:docPr id="100011" name="" descr="@@@c490d4884b7e48d1ba65a4b4d62fa5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00150" cy="866775"/>
                  <wp:docPr id="100013" name="" descr="@@@6d8030690cb64432bfe906adf5c397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得出的结论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 "/>
                    <m:sepChr m:val=","/>
                  </m:dPr>
                  <m:e>
                    <m:eqAr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Cambria Math"/>
                          </w:rPr>
                          <m:t>Δ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&gt;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−</m:t>
                        </m:r>
                        <m:f>
                          <m:num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  <m:r>
                              <w:rPr>
                                <w:rFonts w:ascii="Cambria Math" w:eastAsia="宋体" w:hAnsi="Cambria Math" w:cs="Cambria Math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宋体" w:hAnsi="Cambria Math" w:cs="Cambria Math"/>
                          </w:rPr>
                          <m:t>&lt;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k</m:t>
                        </m:r>
                      </m:e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k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Cambria Math"/>
                          </w:rPr>
                          <m:t>&gt;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 "/>
                    <m:sepChr m:val=","/>
                  </m:dPr>
                  <m:e>
                    <m:eqAr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Cambria Math"/>
                          </w:rPr>
                          <m:t>Δ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&gt;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−</m:t>
                        </m:r>
                        <m:f>
                          <m:num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  <m:r>
                              <w:rPr>
                                <w:rFonts w:ascii="Cambria Math" w:eastAsia="宋体" w:hAnsi="Cambria Math" w:cs="Cambria Math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宋体" w:hAnsi="Cambria Math" w:cs="Cambria Math"/>
                          </w:rPr>
                          <m:t>&gt;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k</m:t>
                        </m:r>
                      </m:e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k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Cambria Math"/>
                          </w:rPr>
                          <m:t>&gt;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k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&lt;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 根在区间上的分布(以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为例)</w:t>
      </w:r>
    </w:p>
    <w:tbl>
      <w:tblPr>
        <w:tblStyle w:val="TableNormal"/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5"/>
        <w:gridCol w:w="2056"/>
        <w:gridCol w:w="2161"/>
        <w:gridCol w:w="2658"/>
      </w:tblGrid>
      <w:tr>
        <w:tblPrEx>
          <w:tblW w:w="8220" w:type="dxa"/>
        </w:tblPrEx>
        <w:trPr>
          <w:cantSplit w:val="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分布情况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两根都在</w:t>
            </w: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m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e>
                </m:d>
              </m:oMath>
            </m:oMathPara>
            <w:r>
              <w:rPr>
                <w:sz w:val="21"/>
              </w:rPr>
              <w:t>内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两根有且仅有一根在</w:t>
            </w: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m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e>
                </m:d>
              </m:oMath>
            </m:oMathPara>
            <w:r>
              <w:rPr>
                <w:sz w:val="21"/>
              </w:rPr>
              <w:t>内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一根</w:t>
            </w: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m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e>
                </m:d>
              </m:oMath>
            </m:oMathPara>
            <w:r>
              <w:rPr>
                <w:sz w:val="21"/>
              </w:rPr>
              <w:t>内，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另一根在</w:t>
            </w:r>
            <m:oMathPara>
              <m:oMathParaPr>
                <m:jc m:val="left"/>
              </m:oMathParaPr>
              <m:oMath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p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  <m:r>
                      <w:rPr>
                        <w:rFonts w:ascii="Cambria Math" w:eastAsia="宋体" w:hAnsi="Cambria Math" w:cs="Cambria Math"/>
                      </w:rPr>
                      <m:t>q</m:t>
                    </m:r>
                  </m:e>
                </m:d>
              </m:oMath>
            </m:oMathPara>
            <w:r>
              <w:rPr>
                <w:sz w:val="21"/>
              </w:rPr>
              <w:t>内</w:t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大致图象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133475" cy="914400"/>
                  <wp:docPr id="100015" name="" descr="@@@e3e128685a144375bfd56f31ee5bdd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143000" cy="1038225"/>
                  <wp:docPr id="100017" name="" descr="@@@63f8474c4a7a4df984d11b169794b9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504950" cy="1066800"/>
                  <wp:docPr id="100019" name="" descr="@@@36c6043bfbc84b49bf85986877e0e5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得出的结论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 "/>
                    <m:sepChr m:val=","/>
                  </m:dPr>
                  <m:e>
                    <m:eqAr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Cambria Math"/>
                          </w:rPr>
                          <m:t>Δ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&gt;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m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Cambria Math"/>
                          </w:rPr>
                          <m:t>&gt;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n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Cambria Math"/>
                          </w:rPr>
                          <m:t>&gt;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&lt;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−</m:t>
                        </m:r>
                        <m:f>
                          <m:num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  <m:r>
                              <w:rPr>
                                <w:rFonts w:ascii="Cambria Math" w:eastAsia="宋体" w:hAnsi="Cambria Math" w:cs="Cambria Math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eastAsia="宋体" w:hAnsi="Cambria Math" w:cs="Cambria Math"/>
                          </w:rPr>
                          <m:t>&lt;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m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&lt;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 "/>
                    <m:sepChr m:val=","/>
                  </m:dPr>
                  <m:e>
                    <m:eqAr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m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Cambria Math"/>
                          </w:rPr>
                          <m:t>&gt;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n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Cambria Math"/>
                          </w:rPr>
                          <m:t>&lt;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p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Cambria Math"/>
                          </w:rPr>
                          <m:t>&lt;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q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Cambria Math"/>
                          </w:rPr>
                          <m:t>&gt;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</m:eqArr>
                  </m:e>
                </m:d>
              </m:oMath>
            </m:oMathPara>
            <w:r>
              <w:rPr>
                <w:rFonts w:ascii="Times New Roman" w:eastAsia="Times New Roman" w:hAnsi="Times New Roman" w:cs="Times New Roman"/>
                <w:i/>
                <w:sz w:val="21"/>
              </w:rPr>
              <w:t xml:space="preserve"> 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o</m:t>
                </m:r>
                <m:r>
                  <w:rPr>
                    <w:rFonts w:ascii="Cambria Math" w:eastAsia="宋体" w:hAnsi="Cambria Math" w:cs="Cambria Math"/>
                  </w:rPr>
                  <m:t>r</m:t>
                </m:r>
                <m:d>
                  <m:dPr>
                    <m:begChr m:val="{"/>
                    <m:endChr m:val=" "/>
                    <m:sepChr m:val=","/>
                  </m:dPr>
                  <m:e>
                    <m:eqAr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m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n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Cambria Math"/>
                          </w:rPr>
                          <m:t>&lt;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p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q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Cambria Math"/>
                          </w:rPr>
                          <m:t>&lt;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</m:eqArr>
                  </m:e>
                </m:d>
              </m:oMath>
            </m:oMathPara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 两根分别在区间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外</w:t>
      </w:r>
    </w:p>
    <w:tbl>
      <w:tblPr>
        <w:tblStyle w:val="TableNormal"/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75"/>
        <w:gridCol w:w="3324"/>
        <w:gridCol w:w="3401"/>
      </w:tblGrid>
      <w:tr>
        <w:tblPrEx>
          <w:tblW w:w="8220" w:type="dxa"/>
        </w:tblPrEx>
        <w:trPr>
          <w:cantSplit w:val="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&gt;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&lt;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</w:tr>
      <w:tr>
        <w:tblPrEx>
          <w:tblW w:w="8220" w:type="dxa"/>
        </w:tblPrEx>
        <w:trPr>
          <w:cantSplit w:val="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大致图象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143000" cy="828675"/>
                  <wp:docPr id="100021" name="" descr="@@@3bb1d24bb079445d965297346a948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047750" cy="762000"/>
                  <wp:docPr id="100023" name="" descr="@@@3d93713ba9af413487e882e7d0f1a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220" w:type="dxa"/>
        </w:tblPrEx>
        <w:trPr>
          <w:cantSplit w:val="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得出的结论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 "/>
                    <m:sepChr m:val=","/>
                  </m:dPr>
                  <m:e>
                    <m:eqAr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m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Cambria Math"/>
                          </w:rPr>
                          <m:t>&lt;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n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Cambria Math"/>
                          </w:rPr>
                          <m:t>&lt;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 "/>
                    <m:sepChr m:val=","/>
                  </m:dPr>
                  <m:e>
                    <m:eqAr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m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Cambria Math"/>
                          </w:rPr>
                          <m:t>&gt;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n</m:t>
                            </m:r>
                          </m:e>
                        </m:d>
                        <m:r>
                          <w:rPr>
                            <w:rFonts w:ascii="Cambria Math" w:eastAsia="宋体" w:hAnsi="Cambria Math" w:cs="Cambria Math"/>
                          </w:rPr>
                          <m:t>&gt;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0</m:t>
                        </m:r>
                      </m:e>
                    </m:eqArr>
                  </m:e>
                </m:d>
              </m:oMath>
            </m:oMathPara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备注</w:t>
      </w:r>
      <w:r>
        <w:rPr>
          <w:b/>
          <w:sz w:val="24"/>
        </w:rPr>
        <w:t xml:space="preserve"> </w:t>
      </w:r>
      <w:r>
        <w:rPr>
          <w:b/>
          <w:sz w:val="24"/>
        </w:rPr>
        <w:t>区间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33700" cy="962025"/>
            <wp:docPr id="100025" name="" descr="@@@2ca2d5e0eac24896891f3031db472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47900" cy="952500"/>
            <wp:docPr id="100027" name="" descr="@@@168867b7e30a46fda5625e025408fc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实数集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表示为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371475"/>
            <wp:docPr id="100029" name="" descr="@@@a10f8cf5f00f42218e523f8cc2adc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【题型一】二次函数零点的分布</w:t>
      </w:r>
      <w:r>
        <w:rPr>
          <w:b/>
          <w:sz w:val="24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情况</w:t>
      </w:r>
      <w:r>
        <w:rPr>
          <w:b/>
          <w:sz w:val="24"/>
        </w:rPr>
        <w:t xml:space="preserve">1 </w:t>
      </w:r>
      <w:r>
        <w:rPr>
          <w:b/>
          <w:sz w:val="24"/>
        </w:rPr>
        <w:t>两根与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b/>
          <w:sz w:val="24"/>
        </w:rPr>
        <w:t>的大小比较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【典题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>已知二次方程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有一正根和一负根，求实数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解析 方法1 (韦达定理)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若要满足题意，则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方法2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时，若要满足题意，必须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；(注意开口方向)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时，若要满足题意，必须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 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点拨 对于一些特殊根的分布问题，我们可灵活采取其他的方法.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【典题</w:t>
      </w:r>
      <w:r>
        <w:rPr>
          <w:b/>
          <w:sz w:val="21"/>
        </w:rPr>
        <w:t>2</w:t>
      </w:r>
      <w:r>
        <w:rPr>
          <w:b/>
          <w:sz w:val="21"/>
        </w:rPr>
        <w:t>】</w:t>
      </w:r>
      <w:r>
        <w:rPr>
          <w:sz w:val="21"/>
        </w:rPr>
        <w:t>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的二次方程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的两个互异的实根都小于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</w:t>
      </w:r>
      <w:r>
        <w:rPr>
          <w:sz w:val="21"/>
          <w:u w:val="single"/>
        </w:rPr>
        <w:t>　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>　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解析 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的二次方程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的两个互异的实根都小于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则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（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）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*</m:t>
              </m:r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开口向上，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有两根，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对称轴在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左边，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确定最大根小于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)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d>
                    <m:dPr>
                      <m:begChr m:val="⟨"/>
                      <m:endChr m:val="⟩"/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7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或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d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7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 xml:space="preserve"> 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的范围为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42975" cy="1095375"/>
            <wp:docPr id="100031" name="" descr="@@@d3074b43b6ea4b55b6826c115d723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点拨 思考下，要确保题意成立，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e>
          </m:d>
        </m:oMath>
      </m:oMathPara>
      <w:r>
        <w:rPr>
          <w:sz w:val="21"/>
        </w:rPr>
        <w:t>中满足的四项分别属于二次函数的什么性质呢？不要其中一项是否可以，又为什么呢(结合图象)？确定仅满足这四项就行了么？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情况</w:t>
      </w:r>
      <w:r>
        <w:rPr>
          <w:b/>
          <w:sz w:val="24"/>
        </w:rPr>
        <w:t xml:space="preserve">2 </w:t>
      </w:r>
      <w:r>
        <w:rPr>
          <w:b/>
          <w:sz w:val="24"/>
        </w:rPr>
        <w:t>根在区间上的分布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【典题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>已知关于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若方程有两根，其中一根在区间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－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内，另一根在区间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内，则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的范围是</w:t>
      </w:r>
      <w:r>
        <w:rPr>
          <w:sz w:val="21"/>
          <w:u w:val="single"/>
        </w:rPr>
        <w:t>　</w:t>
      </w:r>
      <m:oMathPara>
        <m:oMathParaPr>
          <m:jc m:val="left"/>
        </m:oMathParaPr>
        <m:oMath/>
      </m:oMathPara>
      <w:r>
        <w:rPr>
          <w:sz w:val="21"/>
          <w:u w:val="single"/>
        </w:rPr>
        <w:t>　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解析 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问题转化为抛物线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轴的交点分别在区间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－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 xml:space="preserve">内，则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（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）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（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）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情况</w:t>
      </w:r>
      <w:r>
        <w:rPr>
          <w:b/>
          <w:sz w:val="24"/>
        </w:rPr>
        <w:t xml:space="preserve">3 </w:t>
      </w:r>
      <w:r>
        <w:rPr>
          <w:b/>
          <w:sz w:val="24"/>
        </w:rPr>
        <w:t>两根分别在区间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b/>
          <w:sz w:val="24"/>
        </w:rPr>
        <w:t>外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【典题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 xml:space="preserve"> 已知关于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的两个实根一个小于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，另一个大于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w:r>
        <w:rPr>
          <w:sz w:val="21"/>
          <w:u w:val="single"/>
        </w:rPr>
        <w:t>　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>　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解析 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对应的二次函数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(对开口方向进行讨论，分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)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 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，即图象开口向上，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的两个实根一个小于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，另一个大于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，只需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(若发现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结合图象也可知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不可能)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 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，即图象开口向下，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的两个实根一个小于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，另一个大于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，只需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．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综上可得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－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方法总结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 求解二次方程根的分布问题，最重要是数形结合做到“等价转化”；多画图思考：图象要怎么画才能满足题意，怎么画就不满足题意，它们之间的区别在哪里？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 画图时注意二次函数四大因素--开口方向，对称轴，判别式，特殊点.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备注：特殊点是指含参的二次函数过的一些定点(比如与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轴的交点)或某些函数值的正负.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 对于一些特殊情况，还可以利用韦达定理、因式分解求出根再求解等方法.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1．已知二次方程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有一正根和一负根，求实数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【知识点】根据二次函数零点的分布求参数的范围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【分析】由二次方程根的分布列不等式求解实数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时，如图，当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，满足条件，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095375"/>
            <wp:docPr id="100033" name="" descr="@@@be9105ebb24f42c1bfb4a7be5f56f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时，如图，当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，满足条件，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1104900"/>
            <wp:docPr id="100035" name="" descr="@@@8aa5965c81114ea68e44c9e7d84a0d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【点睛】本题考查二次方程根的分布，重点考查数形结合分析问题的能力，属于基础题型.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的两根分别在区间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0,1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之内，则实数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【知识点】一元二次方程根的分布问题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【分析】求出方程的解，然后由解满足的条件求参数范围．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－</m:t>
          </m:r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d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d>
            <m:dPr>
              <m:begChr m:val="["/>
              <m:endChr m:val="]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方程两根为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若要满足题意，则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【题型二】</w:t>
      </w:r>
      <w:r>
        <w:rPr>
          <w:b/>
          <w:sz w:val="24"/>
        </w:rPr>
        <w:t xml:space="preserve"> </w:t>
      </w:r>
      <w:r>
        <w:rPr>
          <w:b/>
          <w:sz w:val="24"/>
        </w:rPr>
        <w:t>方程与函数的综合应用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【典题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有实数根么？若有，你试下估其值！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解析 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是否有实数根，等价于方程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是否有实数根，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问题就转化为函数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图象在第一象限是否有交点，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971550"/>
            <wp:docPr id="100037" name="" descr="@@@464ac949595f4220856a8ee81dfab4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有实数根，设其根为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所以由图可知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，即方程的根在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之间.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的实数根中，恰有一个正数解满足不等式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【知识点】根据二次函数零点的分布求参数的范围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【分析】将方程转化为两个函数的交点问题，即可求出实数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【详解】原方程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方程满足题意的解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，画出它们的图象，如下图，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1933575"/>
            <wp:docPr id="100039" name="" descr="@@@0b64d9e6ea2f4d7893d23490488f85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时，两函数图象在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上有唯一的交点，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4．判断方程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是否有解，并说明理由，若有解，则判断解的个数.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【答案】有唯一的解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【知识点】求函数零点或方程根的个数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，则原方程可化为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，画出它们的图象可得答案.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，则原方程可化为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，画出它们的图象，如下图，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由图可知，两个函数图象在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时只有一个交点，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</w:rPr>
        <w:t>是有唯一的解.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0" cy="2314575"/>
            <wp:docPr id="100041" name="" descr="@@@7642e4f68a624ecc8681efb765c0a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是不全为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的实数，求证：方程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内至少有一个根.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【知识点】根据二次函数零点的分布求参数的范围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时，结论显然成立，当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时讨论判别式可证明结论成立.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，方程的根为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，满足题意，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① 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必有零点；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②若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(i)当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begChr m:val="⟨"/>
              <m:endChr m:val="⟩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必有零点；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(ii)当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必有零点；</w:t>
      </w:r>
    </w:p>
    <w:p>
      <w:pPr>
        <w:shd w:val="clear" w:color="auto" w:fill="auto"/>
        <w:spacing w:line="360" w:lineRule="auto"/>
        <w:ind w:left="560"/>
        <w:jc w:val="left"/>
        <w:rPr>
          <w:sz w:val="21"/>
        </w:rPr>
      </w:pPr>
      <w:r>
        <w:rPr>
          <w:sz w:val="21"/>
        </w:rPr>
        <w:t>综上，方程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内至少有一个根.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6"/>
      <w:footerReference w:type="default" r:id="rId2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bmp" /><Relationship Id="rId22" Type="http://schemas.openxmlformats.org/officeDocument/2006/relationships/image" Target="media/image18.bmp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footer" Target="footer1.xml" /><Relationship Id="rId27" Type="http://schemas.openxmlformats.org/officeDocument/2006/relationships/footer" Target="footer2.xml" /><Relationship Id="rId28" Type="http://schemas.openxmlformats.org/officeDocument/2006/relationships/theme" Target="theme/theme1.xml" /><Relationship Id="rId29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c064f86efed2404eb609fa8e90453130mtcwndyynzmznw</vt:lpwstr>
  </property>
</Properties>
</file>