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人教B版选必1·使用说明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视觉锚图例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  <w:shd w:val="clear" w:color="auto" w:fill="C9C9C9"/>
        </w:rPr>
        <w:t xml:space="preserve">1．（简单·保60%·卡壳看答案）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题号难度块：每道题开头的编号、难度档位、提分线与卡壳看答案提醒，整块加粗灰底且只盖编号块本身；题与题之间不留空行，靠它分隔。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必背内容与答案值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内容标记：填空答案、【答案】后的答案值与需要背下来的内容盖浅灰底纹（不加粗），只盖内容本身——本行左侧灰底即式样。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【知识点】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【分析】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【点睛】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【大招指引】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【题后反思】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块标签芯片：题块内功能标签与行内栏目小标签（含【编注】【温馨提醒】等），同款灰底、不加粗、只盖标签本身。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4"/>
          <w:szCs w:val="24"/>
          <w:shd w:val="clear" w:color="auto" w:fill="C9C9C9"/>
        </w:rPr>
        <w:t>1.1.1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节标题序号灰块：教材节标题开头的节号灰底加粗，其后的节标题文字为小四加粗、不盖灰。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hd w:val="clear" w:color="auto" w:fill="C9C9C9"/>
          <w:sz w:val="21"/>
          <w:szCs w:val="21"/>
        </w:rPr>
        <w:t xml:space="preserve">2.4.1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 方法讲解｜主题名…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讲部标题序号灰块：讲部标题开头的序号「父号.k」灰底加粗（五号、缩进4字符），只盖序号本身，标题文字加粗不盖灰。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hd w:val="clear" w:color="auto" w:fill="C9C9C9"/>
          <w:sz w:val="21"/>
          <w:szCs w:val="21"/>
        </w:rPr>
        <w:t xml:space="preserve">2.4.1.1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 节名：考点（方法）…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题型标题序号灰块：题型标题开头的父链序号「父号.j」灰底加粗（五号、缩进8字符），只盖序号本身，标题文字加粗不盖灰。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1．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知识清单与讲部条目号灰块：条目题名行（知识清单条目、讲部条目）的条目号「N．」同款灰底、不加粗、只盖条目号本身，条目题名文字不盖灰。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（1）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条目第一子层序号灰块：条目下第一子层「（N）」同款灰底、不加粗、只盖序号本身；第二子层①②③、更深层（N）与题目小问(1)(2)不挂。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【编注】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行内小标签芯片（挂灰底、不加粗）：【编注】开头的内容＝编者补写的思路提示或通法，不是素材原文。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难度三档与建议学习路径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简单：单一知识点直接套用、一两步即可完成；简单档具备本章高考约60%分数目标所需的基本能力。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中档：常规解法需多步转化，或跨一两个知识点的常规组合；简单＋中档合计具备本章高考约80%分数目标所需的能力。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难：只收特别难的题（含原卷压轴），具备本章冲击满分所需的全部能力；名难实易的题一律放简单或中档。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提分线三形态：简单·保60%／中档·保80%／难·冲100%。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建议学习路径：知识清单 → 衔接件 → 讲练件。先用知识清单过一遍本章知识、背下灰底必背内容；有衔接件的章先刷衔接件补齐初中铺垫；再用讲练件按节推进，先读讲部分再做题，组内由易到难。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答案用法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每题先独立读题动手，卡壳超过10分钟立即看答案学方法、不死磕；看懂后遮住答案重做一遍，隔天重做仍错的题记入错题记录表。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本册件型用法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知识清单：本章全部知识条目按教材节归类，填空答案与必背内容已盖灰底；课前预习与考前背诵用，逐节过。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衔接件（仅与初中有映照的章配备）：只考「初中已学＋本章以前」的铺垫题；学本章之前先自测，卡壳处回补后再进本章。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讲练件（每章一件，分卷题号连续）：本册核心件；讲部分（知识讲解＋例题）排在对应题型组之前，题目按教材节×题型分组、组内由易到难，题号后即难度档位；章首有导航表与全件统计行。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错题记录件（每章一件独立页，装订在章末）：三列空行自填表「题号｜错因｜重做日期」，题号列由自己填写，错因可参考示例「知识不会／方法没想到／计算错／审题错」，重做日期用于跟踪回炉；错题多者复印加页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本册按装订单分6本装订：本1＝封面、使用说明、册目录页与第1章衔接件；本2＝第1章知识清单；本3＝第1章讲练件（上）（下）与错题记录（第1章）；本4＝第2章衔接件；本5＝第2章知识清单；本6＝第2章讲练件四卷与错题记录（第2章）；按本取用即可，全册页码连续、不因分本改变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