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auto"/>
        <w:jc w:val="left"/>
      </w:pPr>
    </w:p>
    <w:p w14:paraId="4A1DD656"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shd w:val="clear" w:color="auto" w:fill="C9C9C9"/>
        </w:rPr>
        <w:t xml:space="preserve">1.1 </w:t>
      </w:r>
      <w:r>
        <w:rPr>
          <w:rFonts w:ascii="Times New Roman" w:hAnsi="Times New Roman" w:eastAsia="宋体" w:cs="Times New Roman"/>
          <w:sz w:val="21"/>
          <w:szCs w:val="21"/>
          <w:b/>
        </w:rPr>
        <w:t xml:space="preserve">磁场对通电导线的作用力</w:t>
      </w:r>
    </w:p>
    <w:p w14:paraId="224E93AD" w14:textId="2F72F928"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sz w:val="21"/>
          <w:szCs w:val="21"/>
          <w:shd w:val="clear" w:color="auto" w:fill="C9C9C9"/>
        </w:rPr>
        <w:t>通电</w:t>
      </w:r>
      <w:r>
        <w:rPr>
          <w:rFonts w:ascii="Times New Roman" w:hAnsi="Times New Roman" w:eastAsia="宋体" w:cs="Times New Roman"/>
          <w:sz w:val="21"/>
          <w:szCs w:val="21"/>
          <w:shd w:val="clear" w:color="auto" w:fill="C9C9C9"/>
        </w:rPr>
        <w:t>导线</w:t>
      </w:r>
      <w:r w:rsidRPr="005A07AD">
        <w:rPr>
          <w:rFonts w:ascii="Times New Roman" w:hAnsi="Times New Roman" w:eastAsia="宋体" w:cs="Times New Roman"/>
          <w:sz w:val="21"/>
          <w:szCs w:val="21"/>
        </w:rPr>
        <w:t>在磁场中受的力。</w:t>
      </w:r>
    </w:p>
    <w:p>
      <w:pPr>
        <w:rPr>
          <w:sz w:val="21"/>
          <w:szCs w:val="21"/>
        </w:rPr>
        <w:spacing w:before="0" w:after="0" w:line="300" w:lineRule="auto"/>
        <w:jc w:val="left"/>
      </w:pPr>
    </w:p>
    <w:p w14:paraId="3B8415DC" w14:textId="1CEEEBB3"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sz w:val="21"/>
          <w:szCs w:val="21"/>
          <w:shd w:val="clear" w:color="auto" w:fill="C9C9C9"/>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auto"/>
        <w:jc w:val="left"/>
      </w:pPr>
    </w:p>
    <w:p w14:paraId="554773B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sz w:val="21"/>
          <w:szCs w:val="21"/>
          <w:shd w:val="clear" w:color="auto" w:fill="C9C9C9"/>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sz w:val="21"/>
          <w:szCs w:val="21"/>
          <w:shd w:val="clear" w:color="auto" w:fill="C9C9C9"/>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sz w:val="21"/>
          <w:szCs w:val="21"/>
          <w:shd w:val="clear" w:color="auto" w:fill="C9C9C9"/>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C9C9C9"/>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shd w:val="clear" w:color="auto" w:fill="C9C9C9"/>
        </w:rPr>
        <w:t>4．</w:t>
      </w:r>
      <w:r>
        <w:rPr>
          <w:rFonts w:ascii="Times New Roman" w:hAnsi="Times New Roman" w:eastAsia="宋体" w:cs="Times New Roman"/>
          <w:szCs w:val="21"/>
          <w:sz w:val="21"/>
        </w:rPr>
        <w:t>安培力的大小与有效长度</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rPr>
        <w:t>公式</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ILB</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）中</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C9C9C9"/>
        </w:rPr>
        <w:t>指的是通电导线在磁场中的“有效长度”，弯曲导线的有效长度</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C9C9C9"/>
        </w:rPr>
        <w:t>，等于连接两端点直线的长度，相应的电流沿</w:t>
      </w:r>
      <w:r>
        <w:rPr>
          <w:rFonts w:ascii="Times New Roman" w:eastAsia="宋体" w:hAnsi="Times New Roman" w:cs="Times New Roman"/>
          <w:i/>
          <w:sz w:val="21"/>
          <w:szCs w:val="21"/>
        </w:rPr>
        <w:t>L</w:t>
      </w:r>
      <w:r>
        <w:rPr>
          <w:rFonts w:ascii="Times New Roman" w:hAnsi="Times New Roman" w:eastAsia="宋体" w:cs="Times New Roman"/>
          <w:sz w:val="21"/>
          <w:szCs w:val="21"/>
        </w:rPr>
        <w:t>由始端流向末端，如图所示</w:t>
      </w:r>
    </w:p>
    <w:p>
      <w:pPr>
        <w:jc w:val="left"/>
        <w:spacing w:before="0" w:after="0" w:line="300" w:lineRule="auto"/>
        <w:rPr>
          <w:sz w:val="21"/>
          <w:szCs w:val="21"/>
        </w:rPr>
      </w:p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
                  <a:stretch>
                    <a:fillRect/>
                  </a:stretch>
                </pic:blipFill>
                <pic:spPr>
                  <a:xfrm>
                    <a:off x="0" y="0"/>
                    <a:ext cx="1847850" cy="762000"/>
                  </a:xfrm>
                  <a:prstGeom prst="rect">
                    <a:avLst/>
                  </a:prstGeom>
                </pic:spPr>
              </pic:pic>
            </a:graphicData>
          </a:graphic>
        </wp:inline>
      </w:drawing>
    </w:p>
    <w:p>
      <w:pPr>
        <w:spacing w:line="300" w:lineRule="auto" w:before="0" w:after="0"/>
        <w:jc w:val="left"/>
        <w:rPr>
          <w:szCs w:val="21"/>
          <w:sz w:val="21"/>
        </w:rPr>
      </w:pPr>
      <w:r>
        <w:rPr>
          <w:rFonts w:ascii="Times New Roman" w:hAnsi="Times New Roman" w:eastAsia="宋体" w:cs="Times New Roman"/>
          <w:szCs w:val="21"/>
          <w:sz w:val="21"/>
          <w:shd w:val="clear" w:color="auto" w:fill="C9C9C9"/>
        </w:rPr>
        <w:t>5．</w:t>
      </w:r>
      <w:r>
        <w:rPr>
          <w:rFonts w:ascii="Times New Roman" w:hAnsi="Times New Roman" w:eastAsia="宋体" w:cs="Times New Roman"/>
          <w:szCs w:val="21"/>
          <w:sz w:val="21"/>
        </w:rPr>
        <w:t>平行电流之间的相互作用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rPr>
        <w:t>通电导线之间的安培力主要考虑两点：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C9C9C9"/>
        </w:rPr>
        <w:t>同向电流互相吸引，异向电流互相排斥；</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C9C9C9"/>
        </w:rPr>
        <w:t>两不平行的直线电流相互作用时，有转到平行且电流方向相同的趋势。</w:t>
      </w:r>
    </w:p>
    <w:p w14:paraId="12864FDF" w14:textId="0682F140" w:rsidR="005A07AD"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auto"/>
        <w:jc w:val="left"/>
      </w:pPr>
    </w:p>
    <w:p w14:paraId="5EDD985F" w14:textId="3E758F61" w:rsidR="005A07AD" w:rsidRPr="005A07AD" w:rsidRDefault="005A07AD" w:rsidP="005A07AD">
      <w:pPr>
        <w:snapToGrid w:val="0"/>
        <w:rPr>
          <w:sz w:val="21"/>
          <w:szCs w:val="21"/>
        </w:rPr>
        <w:spacing w:before="0" w:after="0" w:line="300" w:lineRule="auto"/>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6．</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sz w:val="21"/>
          <w:szCs w:val="21"/>
          <w:shd w:val="clear" w:color="auto" w:fill="C9C9C9"/>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sz w:val="21"/>
          <w:szCs w:val="21"/>
          <w:shd w:val="clear" w:color="auto" w:fill="C9C9C9"/>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sz w:val="21"/>
          <w:szCs w:val="21"/>
          <w:shd w:val="clear" w:color="auto" w:fill="C9C9C9"/>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9B1CB0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7．</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sz w:val="21"/>
          <w:szCs w:val="21"/>
          <w:shd w:val="clear" w:color="auto" w:fill="C9C9C9"/>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sz w:val="21"/>
          <w:szCs w:val="21"/>
          <w:shd w:val="clear" w:color="auto" w:fill="C9C9C9"/>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auto"/>
        <w:jc w:val="left"/>
      </w:pPr>
    </w:p>
    <w:p w14:paraId="634CEF7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8．</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sz w:val="21"/>
          <w:szCs w:val="21"/>
          <w:shd w:val="clear" w:color="auto" w:fill="C9C9C9"/>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auto"/>
        <w:jc w:val="left"/>
      </w:pPr>
    </w:p>
    <w:p w14:paraId="43082F06" w14:textId="30F0F46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9．</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sz w:val="21"/>
          <w:szCs w:val="21"/>
          <w:shd w:val="clear" w:color="auto" w:fill="C9C9C9"/>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shd w:val="clear" w:color="auto" w:fill="C9C9C9"/>
        </w:rPr>
        <w:t xml:space="preserve">1.2 </w:t>
      </w:r>
      <w:r>
        <w:rPr>
          <w:rFonts w:ascii="Times New Roman" w:hAnsi="Times New Roman" w:eastAsia="宋体" w:cs="Times New Roman"/>
          <w:sz w:val="21"/>
          <w:szCs w:val="21"/>
          <w:b/>
        </w:rPr>
        <w:t xml:space="preserve">磁场对运动电荷的作用力</w:t>
      </w:r>
    </w:p>
    <w:p w14:paraId="7C16DE7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10．</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sz w:val="21"/>
          <w:szCs w:val="21"/>
          <w:shd w:val="clear" w:color="auto" w:fill="C9C9C9"/>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sz w:val="21"/>
          <w:szCs w:val="21"/>
          <w:shd w:val="clear" w:color="auto" w:fill="C9C9C9"/>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auto"/>
        <w:jc w:val="left"/>
      </w:pPr>
    </w:p>
    <w:p w14:paraId="12EAA429" w14:textId="010B2C2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11．</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sz w:val="21"/>
          <w:szCs w:val="21"/>
          <w:shd w:val="clear" w:color="auto" w:fill="C9C9C9"/>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sz w:val="21"/>
          <w:szCs w:val="21"/>
          <w:shd w:val="clear" w:color="auto" w:fill="C9C9C9"/>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sz w:val="21"/>
          <w:szCs w:val="21"/>
          <w:shd w:val="clear" w:color="auto" w:fill="C9C9C9"/>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sz w:val="21"/>
          <w:szCs w:val="21"/>
          <w:shd w:val="clear" w:color="auto" w:fill="C9C9C9"/>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auto"/>
        <w:jc w:val="left"/>
      </w:pPr>
    </w:p>
    <w:p w14:paraId="7CCF4C3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auto"/>
        <w:jc w:val="left"/>
      </w:pPr>
    </w:p>
    <w:p w14:paraId="37ABAFC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auto"/>
        <w:jc w:val="left"/>
      </w:pPr>
    </w:p>
    <w:p w14:paraId="503D5088" w14:textId="0B6D573B"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auto"/>
        <w:jc w:val="left"/>
      </w:pPr>
    </w:p>
    <w:p w14:paraId="6F7768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15．</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sz w:val="21"/>
          <w:szCs w:val="21"/>
          <w:shd w:val="clear" w:color="auto" w:fill="C9C9C9"/>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C9C9C9"/>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auto"/>
        <w:jc w:val="left"/>
      </w:pPr>
    </w:p>
    <w:p w14:paraId="420A09B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16．</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sz w:val="21"/>
          <w:szCs w:val="21"/>
          <w:shd w:val="clear" w:color="auto" w:fill="C9C9C9"/>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auto"/>
        <w:jc w:val="left"/>
      </w:pPr>
    </w:p>
    <w:p w14:paraId="16C6766C" w14:textId="794E7CC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17．</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sz w:val="21"/>
          <w:szCs w:val="21"/>
          <w:shd w:val="clear" w:color="auto" w:fill="C9C9C9"/>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sz w:val="21"/>
          <w:szCs w:val="21"/>
          <w:shd w:val="clear" w:color="auto" w:fill="C9C9C9"/>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shd w:val="clear" w:color="auto" w:fill="C9C9C9"/>
        </w:rPr>
        <w:t xml:space="preserve">1.3 </w:t>
      </w:r>
      <w:r>
        <w:rPr>
          <w:rFonts w:ascii="Times New Roman" w:hAnsi="Times New Roman" w:eastAsia="宋体" w:cs="Times New Roman"/>
          <w:sz w:val="21"/>
          <w:szCs w:val="21"/>
          <w:b/>
        </w:rPr>
        <w:t xml:space="preserve">带电粒子在匀强磁场中的运动</w:t>
      </w:r>
    </w:p>
    <w:p w14:paraId="786234D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18．</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sz w:val="21"/>
          <w:szCs w:val="21"/>
          <w:shd w:val="clear" w:color="auto" w:fill="C9C9C9"/>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A926D6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19．</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sz w:val="21"/>
          <w:szCs w:val="21"/>
          <w:shd w:val="clear" w:color="auto" w:fill="C9C9C9"/>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sz w:val="21"/>
          <w:szCs w:val="21"/>
          <w:shd w:val="clear" w:color="auto" w:fill="C9C9C9"/>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sz w:val="21"/>
          <w:szCs w:val="21"/>
          <w:shd w:val="clear" w:color="auto" w:fill="C9C9C9"/>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sz w:val="21"/>
          <w:szCs w:val="21"/>
          <w:shd w:val="clear" w:color="auto" w:fill="C9C9C9"/>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sz w:val="21"/>
          <w:szCs w:val="21"/>
          <w:shd w:val="clear" w:color="auto" w:fill="C9C9C9"/>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auto"/>
        <w:jc w:val="left"/>
      </w:pPr>
    </w:p>
    <w:p w14:paraId="2AB99C67" w14:textId="77777777" w:rsidR="00F96391"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20．</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Times New Roman" w:hAnsi="Times New Roman" w:cs="Cambria Math"/>
            <w:szCs w:val="21"/>
          </w:rPr>
          <m:t>qvB</m:t>
        </m:r>
        <m:r>
          <m:rPr>
            <m:sty m:val="p"/>
          </m:rP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C9C9C9"/>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Times New Roman" w:hAnsi="Times New Roman" w:cs="Cambria Math"/>
            <w:szCs w:val="21"/>
          </w:rPr>
          <m:t>r</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和</w:t>
      </w:r>
      <m:oMath>
        <m:r>
          <w:rPr>
            <w:rFonts w:ascii="Times New Roman" w:hAnsi="Times New Roman" w:cs="Cambria Math"/>
            <w:szCs w:val="21"/>
          </w:rPr>
          <m:t>T</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πr</m:t>
            </m:r>
          </m:num>
          <m:den>
            <m:r>
              <w:rPr>
                <w:rFonts w:ascii="Times New Roman" w:hAnsi="Times New Roman"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Times New Roman" w:hAnsi="Times New Roman"/>
                <w:szCs w:val="21"/>
                <w:shd w:val="clear" w:color="auto" w:fill="C9C9C9"/>
              </w:rPr>
            </m:ctrlPr>
          </m:fPr>
          <m:num>
            <m:r>
              <w:rPr>
                <w:rFonts w:ascii="Times New Roman" w:hAnsi="Times New Roman" w:cs="Cambria Math"/>
                <w:szCs w:val="21"/>
              </w:rPr>
              <m:t>2</m:t>
            </m:r>
            <m:r>
              <w:rPr>
                <w:rFonts w:ascii="Times New Roman" w:hAnsi="Times New Roman" w:cs="Cambria Math"/>
                <w:szCs w:val="21"/>
              </w:rPr>
              <m:t>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shd w:val="clear" w:color="auto" w:fill="C9C9C9"/>
        </w:rPr>
        <w:t>21．</w:t>
      </w:r>
      <w:r>
        <w:rPr>
          <w:rFonts w:ascii="Times New Roman" w:hAnsi="Times New Roman" w:eastAsia="宋体" w:cs="Times New Roman"/>
          <w:szCs w:val="21"/>
          <w:sz w:val="21"/>
        </w:rPr>
        <w:t>带电粒子做匀速圆周运动问题的基本方法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rPr>
        <w:t>带电粒子在匀强磁场中做匀速圆周运动：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C9C9C9"/>
        </w:rPr>
        <w:t>①已知粒子运动的两个速度方向，则速度方向垂直的直线过圆心，如图所示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shd w:val="clear" w:color="auto" w:fill="C9C9C9"/>
        </w:rPr>
        <w:t>②已知粒子的一个速度方向和弦长，弦的垂直平分线过圆心，如图所示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shd w:val="clear" w:color="auto" w:fill="C9C9C9"/>
        </w:rPr>
        <w:t>（2）</w:t>
      </w:r>
      <w:r>
        <w:rPr>
          <w:rFonts w:ascii="Times New Roman" w:hAnsi="Times New Roman" w:eastAsia="宋体" w:cs="Times New Roman"/>
          <w:sz w:val="21"/>
          <w:szCs w:val="21"/>
        </w:rPr>
        <w:t>求解半径的两种基本方法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①根据半径公式</w:t>
      </w:r>
      <m:oMath>
        <m:r>
          <w:rPr>
            <w:rFonts w:ascii="Times New Roman" w:eastAsia="宋体" w:hAnsi="Times New Roman" w:cs="Cambria Math"/>
            <w:shd w:val="clear" w:color="auto" w:fill="C9C9C9"/>
          </w:rPr>
          <m:t>r</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②构造直角三角形利用几何关系求解，如图所示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shd w:val="clear" w:color="auto" w:fill="C9C9C9"/>
        </w:rPr>
        <w:t>粒子在直线边界的进出具有对称性，运动轨迹如图所示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shd w:val="clear" w:color="auto" w:fill="C9C9C9"/>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C9C9C9"/>
          </w:rPr>
          <m:t>b</m:t>
        </m:r>
      </m:oMath>
      <w:r>
        <w:rPr>
          <w:rFonts w:ascii="Times New Roman" w:hAnsi="Times New Roman" w:eastAsia="宋体" w:cs="Times New Roman"/>
          <w:sz w:val="21"/>
          <w:szCs w:val="21"/>
        </w:rPr>
        <w:t>图，粒子在磁场中转过的圆心角为</w:t>
      </w:r>
      <m:oMath>
        <m:d>
          <m:dPr>
            <m:ctrlPr>
              <w:rPr>
                <w:shd w:val="clear" w:color="auto" w:fill="C9C9C9"/>
              </w:rPr>
            </m:ctrlPr>
          </m:dPr>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C9C9C9"/>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θ</m:t>
        </m:r>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22．</w:t>
      </w:r>
      <w:r>
        <w:rPr>
          <w:rFonts w:ascii="Times New Roman" w:hAnsi="Times New Roman" w:eastAsia="宋体" w:cs="Times New Roman"/>
          <w:szCs w:val="21"/>
          <w:sz w:val="21"/>
        </w:rPr>
        <w:t>圆形磁场的对称性与磁聚焦、磁发散</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C9C9C9"/>
        </w:rPr>
        <w:t>粒子沿径向射入圆形磁场，必沿径向射出，如图所示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6"/>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
      </w:r>
      <w:r>
        <w:rPr>
          <w:rFonts w:ascii="Times New Roman" w:hAnsi="Times New Roman" w:eastAsia="宋体" w:cs="Times New Roman"/>
          <w:sz w:val="21"/>
          <w:szCs w:val="21"/>
        </w:rPr>
        <w:t>粒子不沿直径射入圆形磁场，粒子射入磁场时速度方向与半径夹角为</w:t>
      </w:r>
      <w:r>
        <w:rPr>
          <w:rFonts w:ascii="Times New Roman" w:eastAsia="宋体" w:hAnsi="Times New Roman"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eastAsia="宋体" w:hAnsi="Times New Roman" w:cs="Times New Roman"/>
          <w:i/>
          <w:sz w:val="21"/>
          <w:szCs w:val="21"/>
        </w:rPr>
        <w:t>θ</w:t>
      </w:r>
      <w:r>
        <w:rPr>
          <w:rFonts w:ascii="Times New Roman" w:hAnsi="Times New Roman" w:eastAsia="宋体" w:cs="Times New Roman"/>
          <w:sz w:val="21"/>
          <w:szCs w:val="21"/>
        </w:rPr>
        <w:t>，如图所示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7"/>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shd w:val="clear" w:color="auto" w:fill="C9C9C9"/>
        </w:rPr>
        <w:t>（3）</w:t>
      </w:r>
      <w:r>
        <w:rPr>
          <w:rFonts w:ascii="Times New Roman" w:hAnsi="Times New Roman" w:eastAsia="宋体" w:cs="Times New Roman"/>
          <w:sz w:val="21"/>
          <w:szCs w:val="21"/>
          <w:shd w:val="clear" w:color="auto" w:fill="C9C9C9"/>
        </w:rPr>
        <w:t>磁聚焦和磁发散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23．</w:t>
      </w:r>
      <w:r>
        <w:rPr>
          <w:rFonts w:ascii="Times New Roman" w:hAnsi="Times New Roman" w:eastAsia="宋体" w:cs="Times New Roman"/>
          <w:szCs w:val="21"/>
          <w:sz w:val="21"/>
        </w:rPr>
        <w:t>临界问题的轨迹方法：放缩圆、旋转圆、平移圆</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shd w:val="clear" w:color="auto" w:fill="C9C9C9"/>
        </w:rPr>
        <w:t>（1）</w:t>
      </w:r>
      <w:r>
        <w:rPr>
          <w:rFonts w:ascii="Times New Roman" w:hAnsi="Times New Roman" w:eastAsia="宋体" w:cs="Times New Roman"/>
          <w:sz w:val="21"/>
          <w:szCs w:val="21"/>
          <w:shd w:val="clear" w:color="auto" w:fill="C9C9C9"/>
        </w:rPr>
        <w:t>放缩圆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8"/>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shd w:val="clear" w:color="auto" w:fill="C9C9C9"/>
        </w:rPr>
        <w:t>（2）</w:t>
      </w:r>
      <w:r>
        <w:rPr>
          <w:rFonts w:ascii="Times New Roman" w:hAnsi="Times New Roman" w:eastAsia="宋体" w:cs="Times New Roman"/>
          <w:sz w:val="21"/>
          <w:szCs w:val="21"/>
          <w:shd w:val="clear" w:color="auto" w:fill="C9C9C9"/>
        </w:rPr>
        <w:t>旋转圆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29"/>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shd w:val="clear" w:color="auto" w:fill="C9C9C9"/>
        </w:rPr>
        <w:t>（3）</w:t>
      </w:r>
      <w:r>
        <w:rPr>
          <w:rFonts w:ascii="Times New Roman" w:hAnsi="Times New Roman" w:eastAsia="宋体" w:cs="Times New Roman"/>
          <w:sz w:val="21"/>
          <w:szCs w:val="21"/>
          <w:shd w:val="clear" w:color="auto" w:fill="C9C9C9"/>
        </w:rPr>
        <w:t>平移圆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24．</w:t>
      </w:r>
      <w:r>
        <w:rPr>
          <w:rFonts w:ascii="Times New Roman" w:hAnsi="Times New Roman" w:eastAsia="宋体" w:cs="Times New Roman"/>
          <w:szCs w:val="21"/>
          <w:sz w:val="21"/>
        </w:rPr>
        <w:t>带电粒子在磁场中运动的多解问题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shd w:val="clear" w:color="auto" w:fill="C9C9C9"/>
        </w:rPr>
        <w:t>（1）</w:t>
      </w:r>
      <w:r>
        <w:rPr>
          <w:rFonts w:ascii="Times New Roman" w:hAnsi="Times New Roman" w:eastAsia="宋体" w:cs="Times New Roman"/>
          <w:sz w:val="21"/>
          <w:szCs w:val="21"/>
        </w:rPr>
        <w:t>带电粒子的电性不确定和磁场方向的不确定性</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C9C9C9"/>
        </w:rPr>
        <w:t>带电粒子可能带正电荷，也可能带负电荷，初速度相同时，正、负粒子在磁场中运动轨迹不同，形成多解，如图所示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0"/>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1"/>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C9C9C9"/>
        </w:rPr>
        <w:t>临界状态不唯一造成多解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带电粒子根据题目中的要求粒子运动的临界位置不同，造成多解，如图所示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2"/>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shd w:val="clear" w:color="auto" w:fill="C9C9C9"/>
        </w:rPr>
        <w:t>（3）</w:t>
      </w:r>
      <w:r>
        <w:rPr>
          <w:rFonts w:ascii="Times New Roman" w:hAnsi="Times New Roman" w:eastAsia="宋体" w:cs="Times New Roman"/>
          <w:sz w:val="21"/>
          <w:szCs w:val="21"/>
        </w:rPr>
        <w:t>周期性运动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粒子运动过程中，运动半径不明确，粒子在磁场或电磁场中会形成周期性的运动，造成多解，如图所示</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25．</w:t>
      </w:r>
      <w:r>
        <w:rPr>
          <w:rFonts w:ascii="Times New Roman" w:hAnsi="Times New Roman" w:eastAsia="宋体" w:cs="Times New Roman"/>
          <w:szCs w:val="21"/>
          <w:sz w:val="21"/>
        </w:rPr>
        <w:t>带电粒子在电场与磁场组合场中的运动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shd w:val="clear" w:color="auto" w:fill="C9C9C9"/>
        </w:rPr>
        <w:t>（1）</w:t>
      </w:r>
      <w:r>
        <w:rPr>
          <w:rFonts w:ascii="Times New Roman" w:hAnsi="Times New Roman" w:eastAsia="宋体" w:cs="Times New Roman"/>
          <w:sz w:val="21"/>
          <w:szCs w:val="21"/>
        </w:rPr>
        <w:t>粒子由电场进入磁场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①粒子在电场中加速，进入磁场后做匀速圆周运动，如图所示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3"/>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34"/>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shd w:val="clear" w:color="auto" w:fill="C9C9C9"/>
        </w:rPr>
        <w:t>（2）</w:t>
      </w:r>
      <w:r>
        <w:rPr>
          <w:rFonts w:ascii="Times New Roman" w:hAnsi="Times New Roman" w:eastAsia="宋体" w:cs="Times New Roman"/>
          <w:sz w:val="21"/>
          <w:szCs w:val="21"/>
        </w:rPr>
        <w:t>粒子由磁场进入电场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①粒子磁场中做匀速圆周运动，之后进入电场后加速或减速；</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②粒子磁场中做匀速圆周运动，之后进入电场后偏转。</w:t>
      </w:r>
    </w:p>
    <w:p w14:paraId="264A22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质谱仪原理图：</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shd w:val="clear" w:color="auto" w:fill="C9C9C9"/>
        </w:rPr>
        <w:t xml:space="preserve">1.4 </w:t>
      </w:r>
      <w:r>
        <w:rPr>
          <w:rFonts w:ascii="Times New Roman" w:hAnsi="Times New Roman" w:eastAsia="宋体" w:cs="Times New Roman"/>
          <w:sz w:val="21"/>
          <w:szCs w:val="21"/>
          <w:b/>
        </w:rPr>
        <w:t xml:space="preserve">质谱仪与回旋加速器</w:t>
      </w:r>
    </w:p>
    <w:p w14:paraId="05237C9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26．</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Times New Roman" w:hAnsi="Times New Roman" w:cs="Cambria Math"/>
            <w:szCs w:val="21"/>
            <w:shd w:val="clear" w:color="auto" w:fill="C9C9C9"/>
          </w:rPr>
          <m:t>qU</m:t>
        </m:r>
        <m:r>
          <w:rPr>
            <w:rFonts w:ascii="Times New Roman" w:hAnsi="Times New Roman" w:cs="Cambria Math"/>
            <w:szCs w:val="21"/>
            <w:shd w:val="clear" w:color="auto" w:fill="C9C9C9"/>
          </w:rPr>
          <m:t>=</m:t>
        </m:r>
        <m:f>
          <m:fPr>
            <m:ctrlPr>
              <w:rPr>
                <w:rFonts w:ascii="Times New Roman" w:hAnsi="Times New Roman"/>
                <w:szCs w:val="21"/>
                <w:shd w:val="clear" w:color="auto" w:fill="C9C9C9"/>
              </w:rPr>
            </m:ctrlPr>
          </m:fPr>
          <m:num>
            <m:r>
              <w:rPr>
                <w:rFonts w:ascii="Times New Roman" w:hAnsi="Times New Roman" w:cs="Cambria Math"/>
                <w:szCs w:val="21"/>
              </w:rPr>
              <m:t>1</m:t>
            </m:r>
          </m:num>
          <m:den>
            <m:r>
              <w:rPr>
                <w:rFonts w:ascii="Times New Roman" w:hAnsi="Times New Roman" w:cs="Cambria Math"/>
                <w:szCs w:val="21"/>
              </w:rPr>
              <m:t>2</m:t>
            </m:r>
          </m:den>
        </m:f>
        <m:r>
          <w:rPr>
            <w:rFonts w:ascii="Times New Roman" w:hAnsi="Times New Roman" w:cs="Cambria Math"/>
            <w:szCs w:val="21"/>
            <w:shd w:val="clear" w:color="auto" w:fill="C9C9C9"/>
          </w:rPr>
          <m:t>m</m:t>
        </m:r>
        <m:sSup>
          <m:sSupPr>
            <m:ctrlPr>
              <w:rPr>
                <w:rFonts w:ascii="Times New Roman" w:hAnsi="Times New Roman"/>
                <w:szCs w:val="21"/>
                <w:shd w:val="clear" w:color="auto" w:fill="C9C9C9"/>
              </w:rPr>
            </m:ctrlPr>
          </m:sSupPr>
          <m:e>
            <m:r>
              <w:rPr>
                <w:rFonts w:ascii="Times New Roman" w:hAnsi="Times New Roman" w:cs="Cambria Math"/>
                <w:szCs w:val="21"/>
              </w:rPr>
              <m:t>v</m:t>
            </m:r>
          </m:e>
          <m:sup>
            <m:r>
              <w:rPr>
                <w:rFonts w:ascii="Times New Roman" w:hAnsi="Times New Roman" w:cs="Cambria Math"/>
                <w:szCs w:val="21"/>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Times New Roman" w:hAnsi="Times New Roman" w:cs="Cambria Math"/>
            <w:szCs w:val="21"/>
          </w:rPr>
          <m:t>qvB</m:t>
        </m:r>
        <m: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C9C9C9"/>
              </w:rPr>
            </m:ctrlPr>
          </m:fPr>
          <m:num>
            <m:r>
              <w:rPr>
                <w:rFonts w:ascii="Times New Roman" w:hAnsi="Times New Roman" w:cs="Cambria Math"/>
                <w:szCs w:val="21"/>
              </w:rPr>
              <m:t>1</m:t>
            </m:r>
          </m:num>
          <m:den>
            <m:r>
              <w:rPr>
                <w:rFonts w:ascii="Times New Roman" w:hAnsi="Times New Roman" w:cs="Cambria Math"/>
                <w:szCs w:val="21"/>
              </w:rPr>
              <m:t>B</m:t>
            </m:r>
          </m:den>
        </m:f>
        <m:rad>
          <m:radPr>
            <m:degHide m:val="1"/>
            <m:ctrlPr>
              <w:rPr>
                <w:rFonts w:ascii="Times New Roman" w:hAnsi="Times New Roman"/>
                <w:szCs w:val="21"/>
                <w:shd w:val="clear" w:color="auto" w:fill="C9C9C9"/>
              </w:rPr>
            </m:ctrlPr>
          </m:radPr>
          <m:deg/>
          <m:e>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mU</m:t>
                </m:r>
              </m:num>
              <m:den>
                <m:r>
                  <w:rPr>
                    <w:rFonts w:ascii="Times New Roman" w:hAnsi="Times New Roman" w:cs="Cambria Math"/>
                    <w:szCs w:val="21"/>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auto"/>
        <w:jc w:val="left"/>
      </w:pPr>
    </w:p>
    <w:p w14:paraId="43F55EF8"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27．</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sz w:val="21"/>
          <w:szCs w:val="21"/>
          <w:shd w:val="clear" w:color="auto" w:fill="C9C9C9"/>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sz w:val="21"/>
          <w:szCs w:val="21"/>
          <w:shd w:val="clear" w:color="auto" w:fill="C9C9C9"/>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auto"/>
        <w:jc w:val="left"/>
      </w:pPr>
    </w:p>
    <w:p w14:paraId="28905D1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28．</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29．</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m</m:t>
            </m:r>
            <m:sSub>
              <m:sSubPr>
                <m:ctrlPr>
                  <w:rPr>
                    <w:rFonts w:ascii="Times New Roman" w:hAnsi="Times New Roman"/>
                    <w:szCs w:val="21"/>
                  </w:rPr>
                </m:ctrlPr>
              </m:sSubPr>
              <m:e>
                <m:r>
                  <w:rPr>
                    <w:rFonts w:ascii="Times New Roman" w:hAnsi="Times New Roman" w:cs="Cambria Math"/>
                    <w:szCs w:val="21"/>
                  </w:rPr>
                  <m:t>v</m:t>
                </m:r>
              </m:e>
              <m:sub>
                <m:r>
                  <m:rPr>
                    <m:nor/>
                  </m:rPr>
                  <w:rPr>
                    <w:rFonts w:ascii="Times New Roman" w:hAnsi="Times New Roman" w:cs="Cambria Math"/>
                    <w:szCs w:val="21"/>
                  </w:rPr>
                  <m:t>m</m:t>
                </m:r>
              </m:sub>
            </m:sSub>
          </m:num>
          <m:den>
            <m:r>
              <w:rPr>
                <w:rFonts w:ascii="Times New Roman" w:hAnsi="Times New Roman"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q</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B</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R</m:t>
                </m:r>
              </m:e>
              <m:sup>
                <m:r>
                  <w:rPr>
                    <w:rFonts w:ascii="Times New Roman" w:hAnsi="Times New Roman" w:cs="Cambria Math"/>
                    <w:szCs w:val="21"/>
                  </w:rPr>
                  <m:t>2</m:t>
                </m:r>
              </m:sup>
            </m:sSup>
          </m:num>
          <m:den>
            <m:r>
              <w:rPr>
                <w:rFonts w:ascii="Times New Roman" w:hAnsi="Times New Roman" w:cs="Cambria Math"/>
                <w:szCs w:val="21"/>
              </w:rPr>
              <m:t>2</m:t>
            </m:r>
            <m:r>
              <w:rPr>
                <w:rFonts w:ascii="Times New Roman" w:hAnsi="Times New Roman"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30．</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sSub>
              <m:sSubPr>
                <m:ctrlPr>
                  <w:rPr>
                    <w:rFonts w:ascii="Times New Roman" w:hAnsi="Times New Roman"/>
                    <w:szCs w:val="21"/>
                  </w:rPr>
                </m:ctrlPr>
              </m:sSubPr>
              <m:e>
                <m:r>
                  <w:rPr>
                    <w:rFonts w:ascii="Times New Roman" w:hAnsi="Times New Roman" w:cs="Cambria Math"/>
                    <w:szCs w:val="21"/>
                  </w:rPr>
                  <m:t>E</m:t>
                </m:r>
              </m:e>
              <m:sub>
                <m:r>
                  <m:rPr>
                    <m:nor/>
                  </m:rPr>
                  <w:rPr>
                    <w:rFonts w:ascii="Times New Roman" w:hAnsi="Times New Roman" w:cs="Cambria Math"/>
                    <w:szCs w:val="21"/>
                  </w:rPr>
                  <m:t>km</m:t>
                </m:r>
              </m:sub>
            </m:sSub>
          </m:num>
          <m:den>
            <m:r>
              <w:rPr>
                <w:rFonts w:ascii="Times New Roman" w:hAnsi="Times New Roman"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shd w:val="clear" w:color="auto" w:fill="C9C9C9"/>
        </w:rPr>
        <w:t>31．</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T</m:t>
            </m:r>
          </m:num>
          <m:den>
            <m:r>
              <w:rPr>
                <w:rFonts w:ascii="Times New Roman" w:hAnsi="Times New Roman" w:cs="Cambria Math"/>
                <w:szCs w:val="21"/>
              </w:rPr>
              <m:t>2</m:t>
            </m:r>
          </m:den>
        </m:f>
      </m:oMath>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nπm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32．</w:t>
      </w:r>
      <w:r>
        <w:rPr>
          <w:rFonts w:ascii="Times New Roman" w:hAnsi="Times New Roman" w:eastAsia="宋体" w:cs="Times New Roman"/>
          <w:szCs w:val="21"/>
          <w:sz w:val="21"/>
        </w:rPr>
        <w:t>速度选择器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35"/>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粒子在速度选择器中匀速直线运动，根据平衡条件</w:t>
      </w:r>
      <m:oMath>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E</m:t>
        </m:r>
      </m:oMath>
      <w:r>
        <w:rPr>
          <w:rFonts w:ascii="Times New Roman" w:hAnsi="Times New Roman" w:eastAsia="宋体" w:cs="Times New Roman"/>
          <w:sz w:val="21"/>
          <w:szCs w:val="21"/>
        </w:rPr>
        <w:t>可知粒子速度为</w:t>
      </w:r>
      <m:oMath>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33．</w:t>
      </w:r>
      <w:r>
        <w:rPr>
          <w:rFonts w:ascii="Times New Roman" w:hAnsi="Times New Roman" w:eastAsia="宋体" w:cs="Times New Roman"/>
          <w:szCs w:val="21"/>
          <w:sz w:val="21"/>
        </w:rPr>
        <w:t>磁流体发电机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如图所示，等离子体喷入磁场，正、负离子在洛伦兹力的作用下发生偏转而聚集在</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36"/>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shd w:val="clear" w:color="auto" w:fill="C9C9C9"/>
          </w:rPr>
          <m:t>A</m:t>
        </m:r>
        <m:r>
          <m:rPr>
            <m:sty m:val="p"/>
          </m:rPr>
          <w:rPr>
            <w:rFonts w:ascii="Times New Roman" w:eastAsia="宋体" w:hAnsi="Times New Roman" w:cs="Cambria Math"/>
            <w:shd w:val="clear" w:color="auto" w:fill="C9C9C9"/>
          </w:rPr>
          <m:t>、</m:t>
        </m:r>
        <m:r>
          <w:rPr>
            <w:rFonts w:ascii="Times New Roman" w:eastAsia="宋体" w:hAnsi="Times New Roman" w:cs="Cambria Math"/>
            <w:shd w:val="clear" w:color="auto" w:fill="C9C9C9"/>
          </w:rPr>
          <m:t>B</m:t>
        </m:r>
      </m:oMath>
      <w:r>
        <w:rPr>
          <w:rFonts w:ascii="Times New Roman" w:hAnsi="Times New Roman" w:eastAsia="宋体" w:cs="Times New Roman"/>
          <w:sz w:val="21"/>
          <w:szCs w:val="21"/>
        </w:rPr>
        <w:t>两端的路段电压为</w:t>
      </w:r>
      <m:oMath>
        <m:r>
          <w:rPr>
            <w:rFonts w:ascii="Times New Roman" w:eastAsia="宋体" w:hAnsi="Times New Roman" w:cs="Cambria Math"/>
            <w:shd w:val="clear" w:color="auto" w:fill="C9C9C9"/>
          </w:rPr>
          <m:t>U</m:t>
        </m:r>
      </m:oMath>
      <w:r>
        <w:rPr>
          <w:rFonts w:ascii="Times New Roman" w:hAnsi="Times New Roman" w:eastAsia="宋体" w:cs="Times New Roman"/>
          <w:sz w:val="21"/>
          <w:szCs w:val="21"/>
        </w:rPr>
        <w:t>，极板间距为</w:t>
      </w:r>
      <m:oMath>
        <m:r>
          <w:rPr>
            <w:rFonts w:ascii="Times New Roman" w:eastAsia="宋体" w:hAnsi="Times New Roman" w:cs="Cambria Math"/>
            <w:shd w:val="clear" w:color="auto" w:fill="C9C9C9"/>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shd w:val="clear" w:color="auto" w:fill="C9C9C9"/>
          </w:rPr>
          <m:t>q</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B</m:t>
        </m:r>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34．</w:t>
      </w:r>
      <w:r>
        <w:rPr>
          <w:rFonts w:ascii="Times New Roman" w:hAnsi="Times New Roman" w:eastAsia="宋体" w:cs="Times New Roman"/>
          <w:szCs w:val="21"/>
          <w:sz w:val="21"/>
        </w:rPr>
        <w:t>电磁流量计</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如图所示，一圆柱形导管直径为</w:t>
      </w:r>
      <w:r>
        <w:rPr>
          <w:rFonts w:ascii="Times New Roman" w:eastAsia="宋体" w:hAnsi="Times New Roman"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37"/>
                    <a:stretch>
                      <a:fillRect/>
                    </a:stretch>
                  </pic:blipFill>
                  <pic:spPr>
                    <a:xfrm>
                      <a:off x="0" y="0"/>
                      <a:ext cx="1200150" cy="552450"/>
                    </a:xfrm>
                    <a:prstGeom prst="rect">
                      <a:avLst/>
                    </a:prstGeom>
                  </pic:spPr>
                </pic:pic>
              </a:graphicData>
            </a:graphic>
          </wp:inline>
        </w:drawing>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shd w:val="clear" w:color="auto" w:fill="C9C9C9"/>
          </w:rPr>
          <m:t>q</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B</m:t>
        </m:r>
      </m:oMath>
      <w:r>
        <w:rPr>
          <w:rFonts w:ascii="Times New Roman" w:hAnsi="Times New Roman" w:eastAsia="宋体" w:cs="Times New Roman"/>
          <w:sz w:val="21"/>
          <w:szCs w:val="21"/>
        </w:rPr>
        <w:t>，粒子流速为</w:t>
      </w:r>
      <m:oMath>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S</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shd w:val="clear" w:color="auto" w:fill="C9C9C9"/>
        </w:rPr>
        <w:t>35．</w:t>
      </w:r>
      <w:r>
        <w:rPr>
          <w:rFonts w:ascii="Times New Roman" w:hAnsi="Times New Roman" w:eastAsia="宋体" w:cs="Times New Roman"/>
          <w:szCs w:val="21"/>
          <w:sz w:val="21"/>
        </w:rPr>
        <w:t>霍尔元件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高为</w:t>
      </w:r>
      <w:r>
        <w:rPr>
          <w:rFonts w:ascii="Times New Roman" w:eastAsia="宋体" w:hAnsi="Times New Roman" w:cs="Times New Roman"/>
          <w:i/>
          <w:sz w:val="21"/>
          <w:szCs w:val="21"/>
        </w:rPr>
        <w:t>h</w:t>
      </w:r>
      <w:r>
        <w:rPr>
          <w:rFonts w:ascii="Times New Roman" w:hAnsi="Times New Roman" w:eastAsia="宋体" w:cs="Times New Roman"/>
          <w:sz w:val="21"/>
          <w:szCs w:val="21"/>
        </w:rPr>
        <w:t>、宽为</w:t>
      </w:r>
      <w:r>
        <w:rPr>
          <w:rFonts w:ascii="Times New Roman" w:eastAsia="宋体" w:hAnsi="Times New Roman"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eastAsia="宋体" w:hAnsi="Times New Roman"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eastAsia="宋体" w:hAnsi="Times New Roman" w:cs="Times New Roman"/>
          <w:i/>
          <w:sz w:val="21"/>
          <w:szCs w:val="21"/>
        </w:rPr>
        <w:t>A</w:t>
      </w:r>
      <w:r>
        <w:rPr>
          <w:rFonts w:ascii="Times New Roman" w:hAnsi="Times New Roman" w:eastAsia="宋体" w:cs="Times New Roman"/>
          <w:sz w:val="21"/>
          <w:szCs w:val="21"/>
        </w:rPr>
        <w:t>和下表面</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38"/>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eastAsia="宋体" w:hAnsi="Times New Roman" w:cs="Times New Roman"/>
          <w:i/>
          <w:sz w:val="21"/>
          <w:szCs w:val="21"/>
        </w:rPr>
        <w:t>q</w:t>
      </w:r>
      <w:r>
        <w:rPr>
          <w:rFonts w:ascii="Times New Roman" w:hAnsi="Times New Roman" w:eastAsia="宋体" w:cs="Times New Roman"/>
          <w:sz w:val="21"/>
          <w:szCs w:val="21"/>
        </w:rPr>
        <w:t>）在洛伦兹力作用下偏转，</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q</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nqvS </w:t>
      </w:r>
      <w:r>
        <w:rPr>
          <w:rFonts w:ascii="Times New Roman" w:hAnsi="Times New Roman" w:eastAsia="宋体" w:cs="Times New Roman"/>
          <w:sz w:val="21"/>
          <w:szCs w:val="21"/>
        </w:rPr>
        <w:t>和几何关系</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hd </w:t>
      </w:r>
      <w:r>
        <w:rPr>
          <w:rFonts w:ascii="Times New Roman" w:hAnsi="Times New Roman" w:eastAsia="宋体" w:cs="Times New Roman"/>
          <w:sz w:val="21"/>
          <w:szCs w:val="21"/>
        </w:rPr>
        <w:t>，可知</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shd w:val="clear" w:color="auto" w:fill="C9C9C9"/>
          </w:rPr>
          <m:t>U</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k</m:t>
        </m:r>
        <m:f>
          <m:fPr>
            <m:ctrlPr>
              <w:rPr>
                <w:shd w:val="clear" w:color="auto" w:fill="C9C9C9"/>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9</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