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pStyle w:val="Heading3"/>
        <w:ind w:leftChars="2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w:t>
      </w:r>
      <w:r>
        <w:rPr/>
        <w:t xml:space="preserve">＿＿</w:t>
      </w:r>
      <w:r>
        <w:rPr>
          <w:shd w:val="clear" w:color="auto" w:fill="C9C9C9"/>
        </w:rPr>
        <w:t>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2621063" cy="1729361"/>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2621063" cy="1729361"/>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1773789" cy="1839485"/>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1773789" cy="1839485"/>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1761598" cy="1761598"/>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1761598" cy="1761598"/>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w:t>
      </w:r>
      <w:r>
        <w:rPr/>
        <w:t xml:space="preserve">＿＿</w:t>
      </w:r>
      <w:r>
        <w:rPr>
          <w:shd w:val="clear" w:color="auto" w:fill="C9C9C9"/>
        </w:rPr>
        <w:t>相似比</w:t>
      </w:r>
      <w:r>
        <w:t>；</w:t>
      </w:r>
    </w:p>
    <w:p w14:paraId="0D52A2A7" w14:textId="77777777" w:rsidR="00EF035E" w:rsidRPr="00043B54" w:rsidRDefault="00000000">
      <w:pPr>
        <w:jc w:val="left"/>
      </w:pPr>
      <w:r>
        <w:t xml:space="preserve">④ </w:t>
      </w:r>
      <w:r>
        <w:t>相似三角形面积的比等于相似比的</w:t>
      </w:r>
      <w:r>
        <w:rPr/>
        <w:t xml:space="preserve">＿＿</w:t>
      </w:r>
      <w:r>
        <w:rPr>
          <w:shd w:val="clear" w:color="auto" w:fill="C9C9C9"/>
        </w:rPr>
        <w:t>平方</w:t>
      </w:r>
      <w:r>
        <w:t>．</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2950220" cy="1568768"/>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2950220" cy="1568768"/>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w:r>
        <w:rPr>
          <w:rFonts w:ascii="Times New Roman" w:hAnsi="Times New Roman" w:eastAsia="宋体"/>
          <w:sz w:val="21"/>
          <w:szCs w:val="21"/>
        </w:rPr>
        <w:t xml:space="preserve">＿＿</w:t>
      </w:r>
      <m:oMath>
        <m:r>
          <w:rPr>
            <w:rFonts w:cs="Cambria Math"/>
            <w:shd w:val="clear" w:color="auto" w:fill="C9C9C9"/>
          </w:rPr>
          <m:t>B</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=BD⋅BC</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C</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=CD⋅CB</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D</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926176" cy="1379743"/>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926176" cy="1379743"/>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2279715" cy="1300509"/>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2279715" cy="1300509"/>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2870978" cy="1625735"/>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2870978" cy="1625735"/>
                    </a:xfrm>
                    <a:prstGeom prst="rect">
                      <a:avLst/>
                    </a:prstGeom>
                  </pic:spPr>
                </pic:pic>
              </a:graphicData>
            </a:graphic>
          </wp:inline>
        </w:drawing>
      </w:r>
    </w:p>
    <w:p w14:paraId="6523A564" w14:textId="77777777" w:rsidR="002205AB" w:rsidRDefault="00000000">
      <w:pPr>
        <w:ind w:leftChars="4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2102946" cy="1435544"/>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2102946" cy="1435544"/>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 xml:space="preserve">【编注】</w:t>
      </w:r>
      <w:r>
        <w:rPr>
          <w:shd w:val="clear" w:color="auto" w:fill="C9C9C9"/>
        </w:rPr>
        <w:t>【分析】</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2115137" cy="147660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2115137" cy="147660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73789" cy="901123"/>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73789" cy="901123"/>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 xml:space="preserve">【编注】</w:t>
      </w:r>
      <w:r>
        <w:rPr>
          <w:shd w:val="clear" w:color="auto" w:fill="C9C9C9"/>
        </w:rPr>
        <w:t>【分析】</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4617000" cy="319638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4617000" cy="319638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4614840" cy="3196803"/>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4614840" cy="3196803"/>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935720" cy="1912538"/>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935720" cy="1912538"/>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935000" cy="1911687"/>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935000" cy="1911687"/>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2276640" cy="2052708"/>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2276640" cy="2052708"/>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4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2140560" cy="1216493"/>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140560" cy="1216493"/>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907890" cy="990171"/>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907890" cy="990171"/>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629720" cy="1029983"/>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629720" cy="1029983"/>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916280" cy="1181268"/>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916280" cy="1181268"/>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836720" cy="2439394"/>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836720" cy="2439394"/>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 xml:space="preserve">【编注】</w:t>
      </w:r>
      <w:r>
        <w:rPr>
          <w:shd w:val="clear" w:color="auto" w:fill="C9C9C9"/>
        </w:rPr>
        <w:t>【分析】</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832040" cy="2424354"/>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832040" cy="2424354"/>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834920" cy="1599002"/>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834920" cy="1599002"/>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4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2279715" cy="1300607"/>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2279715" cy="1300607"/>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 xml:space="preserve">【编注】</w:t>
      </w:r>
      <w:r>
        <w:rPr>
          <w:shd w:val="clear" w:color="auto" w:fill="C9C9C9"/>
        </w:rPr>
        <w:t>【分析】</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2535726" cy="165117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2535726" cy="165117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2712495" cy="1486509"/>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2712495" cy="1486509"/>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2066373" cy="863168"/>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2066373" cy="863168"/>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 xml:space="preserve">【编注】</w:t>
      </w:r>
      <w:r>
        <w:rPr>
          <w:shd w:val="clear" w:color="auto" w:fill="C9C9C9"/>
        </w:rPr>
        <w:t>【分析】</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2870978" cy="1619526"/>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2870978" cy="1619526"/>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870978" cy="1594988"/>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870978" cy="1594988"/>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350080" cy="1298446"/>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350080" cy="1298446"/>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pStyle w:val="Heading3"/>
        <w:ind w:leftChars="2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w:t>
      </w:r>
      <w:r>
        <w:rPr/>
        <w:t xml:space="preserve">＿＿</w:t>
      </w:r>
      <w:r>
        <w:rPr>
          <w:shd w:val="clear" w:color="auto" w:fill="C9C9C9"/>
        </w:rPr>
        <w:t>中线</w:t>
      </w:r>
      <w:r>
        <w:t>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2724686" cy="1565678"/>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2724686" cy="1565678"/>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w:t>
      </w:r>
      <w:r>
        <w:rPr/>
        <w:t xml:space="preserve">＿＿</w:t>
      </w:r>
      <w:r>
        <w:rPr>
          <w:shd w:val="clear" w:color="auto" w:fill="C9C9C9"/>
        </w:rPr>
        <w:t>三等分点</w:t>
      </w:r>
      <w:r>
        <w:t>．如上图，</w:t>
      </w:r>
      <m:oMath>
        <m:r>
          <w:rPr>
            <w:rFonts w:cs="Cambria Math"/>
          </w:rPr>
          <m:t>AO=2OD</m:t>
        </m:r>
      </m:oMath>
      <w:r>
        <w:t>,</w:t>
      </w:r>
      <m:oMath>
        <m:r>
          <w:rPr>
            <w:rFonts w:cs="Cambria Math"/>
          </w:rPr>
          <m:t>CO=2OE</m:t>
        </m:r>
      </m:oMath>
      <w:r>
        <w:t>,</w:t>
      </w:r>
      <m:oMath>
        <m:r>
          <w:rPr>
            <w:rFonts w:cs="Cambria Math"/>
          </w:rPr>
          <m:t>BO=2OF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w:t>
      </w:r>
      <w:r>
        <w:rPr/>
        <w:t xml:space="preserve">＿＿</w:t>
      </w:r>
      <w:r>
        <w:rPr>
          <w:shd w:val="clear" w:color="auto" w:fill="C9C9C9"/>
        </w:rPr>
        <w:t>角平分线</w:t>
      </w:r>
      <w:r>
        <w:t>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2657636" cy="1521400"/>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2657636" cy="1521400"/>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w:t>
      </w:r>
      <w:r>
        <w:rPr/>
        <w:t xml:space="preserve">＿＿</w:t>
      </w:r>
      <w:r>
        <w:rPr>
          <w:shd w:val="clear" w:color="auto" w:fill="C9C9C9"/>
        </w:rPr>
        <w:t>三边</w:t>
      </w:r>
      <w:r>
        <w:t>的距离相等</w:t>
      </w:r>
      <w:r>
        <w:t>.</w:t>
      </w:r>
    </w:p>
    <w:p w14:paraId="3D85F547" w14:textId="77777777" w:rsidR="00EF035E" w:rsidRPr="00043B54" w:rsidRDefault="00000000">
      <w:pPr>
        <w:jc w:val="left"/>
      </w:pPr>
      <w:r>
        <w:rPr>
          <w:noProof/>
        </w:rPr>
        <w:drawing>
          <wp:inline distT="0" distB="0" distL="0" distR="0" wp14:anchorId="2B256AB3" wp14:editId="557B2B7E">
            <wp:extent cx="3194039" cy="1762944"/>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3194039" cy="1762944"/>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w:t>
      </w:r>
      <w:r>
        <w:rPr/>
        <w:t xml:space="preserve">＿＿</w:t>
      </w:r>
      <w:r>
        <w:rPr>
          <w:shd w:val="clear" w:color="auto" w:fill="C9C9C9"/>
        </w:rPr>
        <w:t>高</w:t>
      </w:r>
      <w:r>
        <w:t>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2267280" cy="1486116"/>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2267280" cy="1486116"/>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w:t>
      </w:r>
      <w:r>
        <w:rPr/>
        <w:t xml:space="preserve">＿＿</w:t>
      </w:r>
      <w:r>
        <w:rPr>
          <w:shd w:val="clear" w:color="auto" w:fill="C9C9C9"/>
        </w:rPr>
        <w:t>内部</w:t>
      </w:r>
      <w:r>
        <w:t>，直角三角形的垂心为他的直角顶点，钝角三角形的垂心在三角形的外部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6381984" cy="1483847"/>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6381984" cy="1483847"/>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w:t>
      </w:r>
      <w:r>
        <w:rPr/>
        <w:t xml:space="preserve">＿＿</w:t>
      </w:r>
      <w:r>
        <w:rPr>
          <w:shd w:val="clear" w:color="auto" w:fill="C9C9C9"/>
        </w:rPr>
        <w:t>垂直平分线</w:t>
      </w:r>
      <w:r>
        <w:t>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3120894" cy="1819035"/>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3120894" cy="1819035"/>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w:t>
      </w:r>
      <w:r>
        <w:rPr/>
        <w:t xml:space="preserve">＿＿</w:t>
      </w:r>
      <w:r>
        <w:rPr>
          <w:shd w:val="clear" w:color="auto" w:fill="C9C9C9"/>
        </w:rPr>
        <w:t>三个顶点</w:t>
      </w:r>
      <w:r>
        <w:t>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2974602" cy="2677142"/>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2974602" cy="2677142"/>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w:t>
      </w:r>
      <w:r>
        <w:rPr/>
        <w:t xml:space="preserve">＿＿</w:t>
      </w:r>
      <w:r>
        <w:rPr>
          <w:shd w:val="clear" w:color="auto" w:fill="C9C9C9"/>
        </w:rPr>
        <w:t>合一</w:t>
      </w:r>
      <w:r>
        <w:t>．因而在等腰三角形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w:t>
      </w:r>
      <w:r>
        <w:rPr/>
        <w:t xml:space="preserve">＿＿</w:t>
      </w:r>
      <w:r>
        <w:rPr>
          <w:shd w:val="clear" w:color="auto" w:fill="C9C9C9"/>
        </w:rPr>
        <w:t>中心</w:t>
      </w:r>
      <w:r>
        <w:t>.</w:t>
      </w:r>
    </w:p>
    <w:p w14:paraId="1E7FD55D" w14:textId="77777777" w:rsidR="002205AB" w:rsidRDefault="00000000">
      <w:pPr>
        <w:ind w:leftChars="4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2925838" cy="1736626"/>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2925838" cy="1736626"/>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 xml:space="preserve">【编注】</w:t>
      </w:r>
      <w:r>
        <w:rPr>
          <w:shd w:val="clear" w:color="auto" w:fill="C9C9C9"/>
        </w:rPr>
        <w:t>【分析】</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2901456" cy="2015947"/>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2901456" cy="2015947"/>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 xml:space="preserve">【编注】</w:t>
      </w:r>
      <w:r>
        <w:rPr>
          <w:shd w:val="clear" w:color="auto" w:fill="C9C9C9"/>
        </w:rPr>
        <w:t>【分析】</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6480000" cy="1862752"/>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6480000" cy="1862752"/>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403720" cy="2128064"/>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403720" cy="2128064"/>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3073320" cy="2167788"/>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3073320" cy="2167788"/>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3048120" cy="2177229"/>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3048120" cy="2177229"/>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3097439" cy="1812331"/>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3097439" cy="1812331"/>
                    </a:xfrm>
                    <a:prstGeom prst="rect">
                      <a:avLst/>
                    </a:prstGeom>
                  </pic:spPr>
                </pic:pic>
              </a:graphicData>
            </a:graphic>
          </wp:inline>
        </w:drawing>
      </w:r>
    </w:p>
    <w:p w14:paraId="7BA1E2F6" w14:textId="77777777" w:rsidR="002205AB" w:rsidRDefault="00000000">
      <w:pPr>
        <w:ind w:leftChars="4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2005418" cy="1418799"/>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2005418" cy="1418799"/>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 xml:space="preserve">【编注】</w:t>
      </w:r>
      <w:r>
        <w:rPr>
          <w:shd w:val="clear" w:color="auto" w:fill="C9C9C9"/>
        </w:rPr>
        <w:t>【分析】</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 xml:space="preserve">【编注】</w:t>
      </w:r>
      <w:r>
        <w:rPr>
          <w:shd w:val="clear" w:color="auto" w:fill="C9C9C9"/>
        </w:rPr>
        <w:t>【分析】</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1548256" cy="1769435"/>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1548256" cy="1769435"/>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1523874" cy="1738779"/>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1523874" cy="1738779"/>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1529969" cy="1726119"/>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1529969" cy="1726119"/>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2206569" cy="2061612"/>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2206569" cy="2061612"/>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 xml:space="preserve">【编注】</w:t>
      </w:r>
      <w:r>
        <w:rPr>
          <w:shd w:val="clear" w:color="auto" w:fill="C9C9C9"/>
        </w:rPr>
        <w:t>【分析】</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2077920" cy="2038714"/>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2077920" cy="2038714"/>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450389" cy="1698799"/>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450389" cy="1698799"/>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3296160" cy="2587175"/>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3296160" cy="2587175"/>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2719080" cy="1538601"/>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2719080" cy="1538601"/>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2719080" cy="1538601"/>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2719080" cy="1538601"/>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2267524" cy="1590651"/>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2267524" cy="1590651"/>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2230560" cy="2172997"/>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2230560" cy="2172997"/>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5876058" cy="5982252"/>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5876058" cy="5982252"/>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（位于1–16页·共16页）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tabs>
        <w:tab w:val="right" w:pos="10206"/>
      </w:tabs>
      <w:jc w:val="left"/>
    </w:pPr>
    <w:r>
      <w:rPr>
        <w:rFonts w:ascii="Times New Roman" w:hAnsi="Times New Roman" w:eastAsia="宋体" w:cs="Times New Roman"/>
        <w:sz w:val="18"/>
        <w:szCs w:val="18"/>
      </w:rPr>
      <w:t xml:space="preserve">羿郭工作室·人教B版选必1 第1章 空间向量与立体几何·衔接</w:t>
    </w:r>
    <w:r>
      <w:rPr>
        <w:rFonts w:ascii="Times New Roman" w:hAnsi="Times New Roman" w:eastAsia="宋体" w:cs="Times New Roman"/>
        <w:sz w:val="18"/>
        <w:szCs w:val="18"/>
      </w:rPr>
      <w:tab/>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"标题 3"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1.2.1 空间中的点、直线与空间向量</w:t>
    </w:r>
    <w:r>
      <w:rPr>
        <w:rFonts w:ascii="Times New Roman" w:hAnsi="Times New Roman" w:eastAsia="宋体" w:cs="Times New Roman"/>
        <w:sz w:val="18"/>
        <w:szCs w:val="18"/>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outlineLvl w:val="2"/>
    </w:pPr>
    <w:rPr>
      <w:rFonts w:ascii="Times New Roman" w:hAnsi="Times New Roman" w:eastAsia="宋体" w:cs="Times New Roman"/>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