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概率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一、章节学习目标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74"/>
        <w:gridCol w:w="6238"/>
        <w:gridCol w:w="840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内容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目标要求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数学素养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随机事件与概率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1.</w:t>
            </w:r>
            <w:r>
              <w:rPr>
                <w:sz w:val="21"/>
              </w:rPr>
              <w:t>结合具体实例，理解样本点和有限样本空间的含义．</w:t>
            </w:r>
            <w:r>
              <w:rPr>
                <w:sz w:val="21"/>
              </w:rPr>
              <w:t>2.</w:t>
            </w:r>
            <w:r>
              <w:rPr>
                <w:sz w:val="21"/>
              </w:rPr>
              <w:t>理解随机事件与样本点的关系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3.</w:t>
            </w:r>
            <w:r>
              <w:rPr>
                <w:sz w:val="21"/>
              </w:rPr>
              <w:t>了解随机事件的并、交与互斥、对立的含义，能结合实例进行随机事件的并、交运算．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4.</w:t>
            </w:r>
            <w:r>
              <w:rPr>
                <w:sz w:val="21"/>
              </w:rPr>
              <w:t>通过实例，了解并、交事件概率的有关性质，掌握随机事件概率的运算法则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5.</w:t>
            </w:r>
            <w:r>
              <w:rPr>
                <w:sz w:val="21"/>
              </w:rPr>
              <w:t>结合具体实例，理解古典概型．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6.</w:t>
            </w:r>
            <w:r>
              <w:rPr>
                <w:sz w:val="21"/>
              </w:rPr>
              <w:t>能计算古典概型中简单随机事件的概率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7.</w:t>
            </w:r>
            <w:r>
              <w:rPr>
                <w:sz w:val="21"/>
              </w:rPr>
              <w:t>结合具体实例，理解概率的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个性质．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8.</w:t>
            </w:r>
            <w:r>
              <w:rPr>
                <w:sz w:val="21"/>
              </w:rPr>
              <w:t>掌握互斥事件、对立事件概率的运算法则</w:t>
            </w:r>
            <w:r>
              <w:rPr>
                <w:sz w:val="21"/>
              </w:rPr>
              <w:t>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事件的相互独立性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1.</w:t>
            </w:r>
            <w:r>
              <w:rPr>
                <w:sz w:val="21"/>
              </w:rPr>
              <w:t>结合有限样本空间，了解两个随机事件相互独立的含义．</w:t>
            </w:r>
            <w:r>
              <w:rPr>
                <w:sz w:val="21"/>
              </w:rPr>
              <w:t>2.</w:t>
            </w:r>
            <w:r>
              <w:rPr>
                <w:sz w:val="21"/>
              </w:rPr>
              <w:t>结合古典概型，利用独立性计算积事件的概率</w:t>
            </w:r>
            <w:r>
              <w:rPr>
                <w:sz w:val="21"/>
              </w:rPr>
              <w:t>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直观想象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频率与概率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结合具体实例，会用频率估计概率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直观想象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二、单元知识架构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272952"/>
            <wp:docPr id="100003" name="" descr="@@@5d12ca3f7051428991d582ae1d95f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27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三、重点知识梳理　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1. </w:t>
      </w:r>
      <w:r>
        <w:rPr>
          <w:sz w:val="21"/>
        </w:rPr>
        <w:t>随机事件与概率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1．有限样本空间与随机事件</w:t>
      </w:r>
    </w:p>
    <w:tbl>
      <w:tblPr>
        <w:tblStyle w:val="TableNormal"/>
        <w:tblW w:w="46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6517"/>
      </w:tblGrid>
      <w:tr>
        <w:tblPrEx>
          <w:tblW w:w="4600" w:type="pct"/>
        </w:tblPrEx>
        <w:trPr>
          <w:cantSplit w:val="0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概念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定义</w:t>
            </w:r>
          </w:p>
        </w:tc>
      </w:tr>
      <w:tr>
        <w:tblPrEx>
          <w:tblW w:w="4600" w:type="pct"/>
        </w:tblPrEx>
        <w:trPr>
          <w:cantSplit w:val="0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随机试验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我们把对随机现象的实现和对它的观察称为随机试验，简称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，常用字母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 xml:space="preserve">表示. </w:t>
            </w:r>
          </w:p>
        </w:tc>
      </w:tr>
      <w:tr>
        <w:tblPrEx>
          <w:tblW w:w="4600" w:type="pct"/>
        </w:tblPrEx>
        <w:trPr>
          <w:cantSplit w:val="0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样本点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把随机试验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的每个可能的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称为样本点. 一般用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ω</w:t>
            </w:r>
            <w:r>
              <w:rPr>
                <w:sz w:val="21"/>
              </w:rPr>
              <w:t xml:space="preserve">表示. </w:t>
            </w:r>
          </w:p>
        </w:tc>
      </w:tr>
      <w:tr>
        <w:tblPrEx>
          <w:tblW w:w="4600" w:type="pct"/>
        </w:tblPrEx>
        <w:trPr>
          <w:cantSplit w:val="0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样本空间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全体样本点的集合称为试验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的样本空间，一般用</w:t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Ω</m:t>
                </m:r>
              </m:oMath>
            </m:oMathPara>
            <w:r>
              <w:rPr>
                <w:sz w:val="21"/>
              </w:rPr>
              <w:t xml:space="preserve">表示. </w:t>
            </w:r>
          </w:p>
        </w:tc>
      </w:tr>
      <w:tr>
        <w:tblPrEx>
          <w:tblW w:w="4600" w:type="pct"/>
        </w:tblPrEx>
        <w:trPr>
          <w:cantSplit w:val="0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有限样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本空间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Ω</m:t>
                </m:r>
              </m:oMath>
            </m:oMathPara>
            <w:r>
              <w:rPr>
                <w:sz w:val="21"/>
              </w:rPr>
              <w:t xml:space="preserve">为有限集时的样本空间称为有限样本空间. </w:t>
            </w:r>
          </w:p>
        </w:tc>
      </w:tr>
      <w:tr>
        <w:tblPrEx>
          <w:tblW w:w="4600" w:type="pct"/>
        </w:tblPrEx>
        <w:trPr>
          <w:cantSplit w:val="0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随机事件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样本空间</w:t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Ω</m:t>
                </m:r>
              </m:oMath>
            </m:oMathPara>
            <w:r>
              <w:rPr>
                <w:sz w:val="21"/>
              </w:rPr>
              <w:t>的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称为随机事件，简称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，并把只包含一个样本点的事件称为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. 在每次试验中，当且仅当事件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中某个样本点出现时，称为事件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发生. 称</w:t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Ω</m:t>
                </m:r>
              </m:oMath>
            </m:oMathPara>
            <w:r>
              <w:rPr>
                <w:sz w:val="21"/>
              </w:rPr>
              <w:t>为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∅</m:t>
                </m:r>
              </m:oMath>
            </m:oMathPara>
            <w:r>
              <w:rPr>
                <w:sz w:val="21"/>
              </w:rPr>
              <w:t>为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. 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试验     基本结果     子集     事件     基本事件     必然事件     不可能事件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【知识点】判断事件是否是随机事件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故答案为：试验；基本结果；子集；事件；基本事件；必然事件；不可能事件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2．事件的关系和运算</w:t>
      </w:r>
    </w:p>
    <w:tbl>
      <w:tblPr>
        <w:tblStyle w:val="TableNormal"/>
        <w:tblW w:w="47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4079"/>
        <w:gridCol w:w="2184"/>
      </w:tblGrid>
      <w:tr>
        <w:tblPrEx>
          <w:tblW w:w="47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含义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符号表示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包含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若事件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发生，则事件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一定发生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rFonts w:ascii="Cambria Math" w:eastAsia="Cambria Math" w:hAnsi="Cambria Math" w:cs="Cambria Math"/>
                <w:sz w:val="21"/>
              </w:rPr>
              <w:t>⊇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（或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rFonts w:ascii="Cambria Math" w:eastAsia="Cambria Math" w:hAnsi="Cambria Math" w:cs="Cambria Math"/>
                <w:sz w:val="21"/>
              </w:rPr>
              <w:t>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相等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包含事件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，事件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也包含事件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并事件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（和事件）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与事件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至少有一个发生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（或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交事件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（积事件）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与事件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同时发生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（或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）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互斥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（互不相容）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与事件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不能同时发生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∩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＝</w:t>
            </w:r>
            <w:r>
              <w:rPr>
                <w:rFonts w:ascii="Cambria Math" w:eastAsia="Cambria Math" w:hAnsi="Cambria Math" w:cs="Cambria Math"/>
                <w:sz w:val="21"/>
              </w:rPr>
              <w:t>∅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互为对立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和事件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在任何一次试验中有且仅有一个发生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∪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＝Ω，且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∩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＝</w:t>
            </w:r>
            <w:r>
              <w:rPr>
                <w:rFonts w:ascii="Cambria Math" w:eastAsia="Cambria Math" w:hAnsi="Cambria Math" w:cs="Cambria Math"/>
                <w:sz w:val="21"/>
              </w:rPr>
              <w:t>∅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【知识点】事件的运算及其含义、判断所给事件是否是互斥关系、确定所给事件的对立关系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3．古典概型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①概率的定义：对随机事件发生可能性大小的度量（数值）称为事件的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的概率用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）表示.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②古典概型：我们将具有以下两个特征的试验称为古典概型试验，其数学模型称为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，简称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有限性：样本空间的样本点只有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等可能性：每个样本点发生的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③古典概型的概率计算：一般地，试验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是古典概型，样本空间包含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个样本点，事件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包含其中的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个样本点，则定义事件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的概率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 其中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（Ω）分别表示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与Ω包含的样本点个数.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概率     古典概率模型     古典概型，     有限个，     可能性相等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Ω</m:t>
                  </m:r>
                </m:e>
              </m:d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【知识点】古典概型的特征、计算古典概型问题的概率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【分析】“古典概型”概念填空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4．概率的基本性质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性质1：对任意的事件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，都有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性质2：必然事件的概率为1，不可能事件的概率为0，即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性质3：如果事件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互斥，那么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推广：如果事件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…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两两互斥，那么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性质4：如果事件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互为对立事件，那么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性质5：如果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，那么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特别地，对任意事件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性质6：设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是一个随机试验中的两个事件，我们有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显然，性质3是性质6的特殊情况.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【知识点】确定性事件与随机事件的概率、互斥事件的概率加法公式、利用对立事件的概率公式求概率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【分析】“概率的基本性质”概念填空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5．事件的相互独立性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（1）两个事件相互独立的定义：对任意两个事件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，如果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成立，则称事件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相互独立，简称为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 必然事件Ω，不可能事件</w:t>
      </w:r>
      <w:r>
        <w:rPr>
          <w:rFonts w:ascii="MS Mincho" w:eastAsia="MS Mincho" w:hAnsi="MS Mincho" w:cs="MS Mincho"/>
          <w:sz w:val="21"/>
        </w:rPr>
        <w:t>∅</w:t>
      </w:r>
      <w:r>
        <w:rPr>
          <w:sz w:val="21"/>
        </w:rPr>
        <w:t xml:space="preserve">都与任意事件相互独立.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（2）相互独立的性质：如果事件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相互独立，那么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也都相互独立.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（3）相互独立事件与互斥事件的概率计算</w:t>
      </w:r>
    </w:p>
    <w:tbl>
      <w:tblPr>
        <w:tblStyle w:val="TableNormal"/>
        <w:tblW w:w="8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59"/>
        <w:gridCol w:w="2584"/>
        <w:gridCol w:w="3123"/>
      </w:tblGrid>
      <w:tr>
        <w:tblPrEx>
          <w:tblW w:w="8085" w:type="dxa"/>
        </w:tblPrEx>
        <w:trPr>
          <w:cantSplit w:val="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概率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互斥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相互独立</w:t>
            </w:r>
          </w:p>
        </w:tc>
      </w:tr>
      <w:tr>
        <w:tblPrEx>
          <w:tblW w:w="8085" w:type="dxa"/>
        </w:tblPrEx>
        <w:trPr>
          <w:cantSplit w:val="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∪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）＋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1－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bar>
              </m:oMath>
            </m:oMathPara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bar>
              </m:oMath>
            </m:oMathPara>
            <w:r>
              <w:rPr>
                <w:sz w:val="21"/>
              </w:rPr>
              <w:t>）</w:t>
            </w:r>
          </w:p>
        </w:tc>
      </w:tr>
      <w:tr>
        <w:tblPrEx>
          <w:tblW w:w="8085" w:type="dxa"/>
        </w:tblPrEx>
        <w:trPr>
          <w:cantSplit w:val="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）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</w:tr>
      <w:tr>
        <w:tblPrEx>
          <w:tblW w:w="8085" w:type="dxa"/>
        </w:tblPrEx>
        <w:trPr>
          <w:cantSplit w:val="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bar>
              </m:oMath>
            </m:oMathPara>
            <w:r>
              <w:rPr>
                <w:sz w:val="21"/>
              </w:rPr>
              <w:t xml:space="preserve"> 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bar>
              </m:oMath>
            </m:oMathPara>
            <w:r>
              <w:rPr>
                <w:sz w:val="21"/>
              </w:rPr>
              <w:t>）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1－[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）＋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）]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bar>
              </m:oMath>
            </m:oMathPara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bar>
              </m:oMath>
            </m:oMathPara>
            <w:r>
              <w:rPr>
                <w:sz w:val="21"/>
              </w:rPr>
              <w:t>）</w:t>
            </w:r>
          </w:p>
        </w:tc>
      </w:tr>
      <w:tr>
        <w:tblPrEx>
          <w:tblW w:w="8085" w:type="dxa"/>
        </w:tblPrEx>
        <w:trPr>
          <w:cantSplit w:val="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bar>
              </m:oMath>
            </m:oMathPara>
            <w:r>
              <w:rPr>
                <w:sz w:val="21"/>
              </w:rPr>
              <w:t>∪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bar>
              </m:oMath>
            </m:oMathPara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）＋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bar>
              </m:oMath>
            </m:oMathPara>
            <w:r>
              <w:rPr>
                <w:sz w:val="21"/>
              </w:rPr>
              <w:t>）＋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m:oMathPara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bar>
              </m:oMath>
            </m:oMathPara>
            <w:r>
              <w:rPr>
                <w:sz w:val="21"/>
              </w:rPr>
              <w:t>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</w:tr>
    </w:tbl>
    <w:p>
      <w:pPr>
        <w:shd w:val="clear" w:color="auto" w:fill="auto"/>
        <w:spacing w:line="360" w:lineRule="auto"/>
        <w:ind w:firstLine="280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）     独立     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【知识点】独立事件的判断、相互独立事件与互斥事件、独立事件的乘法公式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【分析】“事件的相互独立性”概念填空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 频率与概率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（1）频率的稳定性：在任何确定次数的随机试验中，一个随机事件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发生的频率具有随机性.一般地，随着试验次数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的增大，频率偏离概率的幅度会缩小，即事件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发生的频率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）会逐渐稳定于事件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发生的概率. 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）用频率估计概率：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（3）随机模拟：用频率估计概率，需要做大量的重复试验，费时、费力，甚至难以实现，故常用计算器或计算机软件产生随机数模拟试验，这类随机数是依照确定的算法产生，具有周期性（周期很长），故称为伪随机数.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（4）频率的计算公式与古典概型的概率计算公式的异同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55"/>
        <w:gridCol w:w="5470"/>
        <w:gridCol w:w="1327"/>
      </w:tblGrid>
      <w:tr>
        <w:tblPrEx>
          <w:tblW w:w="8325" w:type="dxa"/>
        </w:tblPrEx>
        <w:trPr>
          <w:cantSplit w:val="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不同点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相同点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频率计算公式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频率计算中的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均随随机试验的变化而变化，但随着试验次数的增多，它们的比值逐渐趋近于概率值</w:t>
            </w:r>
          </w:p>
        </w:tc>
        <w:tc>
          <w:tcPr>
            <w:tcW w:w="23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都计算了一个比值</w:t>
            </w: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den>
                </m:f>
              </m:oMath>
            </m:oMathPara>
          </w:p>
        </w:tc>
      </w:tr>
      <w:tr>
        <w:tblPrEx>
          <w:tblW w:w="8325" w:type="dxa"/>
        </w:tblPrEx>
        <w:trPr>
          <w:cantSplit w:val="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古典概型的概率计算公式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den>
                </m:f>
              </m:oMath>
            </m:oMathPara>
            <w:r>
              <w:rPr>
                <w:sz w:val="21"/>
              </w:rPr>
              <w:t>是一个定值，对同一个随机事件而言，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都不会变化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136821a3692642da9532b7965624919dnde4mta5nda0ng</vt:lpwstr>
  </property>
</Properties>
</file>